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EAB80" w14:textId="77777777" w:rsidR="005E5391" w:rsidRPr="005E5391" w:rsidRDefault="005E5391" w:rsidP="005E5391">
      <w:pPr>
        <w:rPr>
          <w:rFonts w:cstheme="minorHAnsi"/>
          <w:b/>
          <w:lang w:val="ro-RO"/>
        </w:rPr>
      </w:pPr>
    </w:p>
    <w:p w14:paraId="042EA31E" w14:textId="5DFF32DC" w:rsidR="005E5391" w:rsidRPr="005E5391" w:rsidRDefault="005E5391" w:rsidP="005E5391">
      <w:pPr>
        <w:rPr>
          <w:rFonts w:cstheme="minorHAnsi"/>
          <w:b/>
          <w:lang w:val="ro-RO"/>
        </w:rPr>
      </w:pPr>
      <w:r w:rsidRPr="005E5391">
        <w:rPr>
          <w:rFonts w:cstheme="minorHAnsi"/>
          <w:b/>
          <w:lang w:val="ro-RO"/>
        </w:rPr>
        <w:t>A</w:t>
      </w:r>
      <w:r w:rsidR="00A17427">
        <w:rPr>
          <w:rFonts w:cstheme="minorHAnsi"/>
          <w:b/>
          <w:lang w:val="ro-RO"/>
        </w:rPr>
        <w:t>pel nr.</w:t>
      </w:r>
      <w:r w:rsidRPr="005E5391">
        <w:rPr>
          <w:rFonts w:cstheme="minorHAnsi"/>
          <w:b/>
          <w:lang w:val="ro-RO"/>
        </w:rPr>
        <w:t xml:space="preserve"> </w:t>
      </w:r>
      <w:r w:rsidR="00A17427" w:rsidRPr="00A17427">
        <w:rPr>
          <w:rFonts w:cstheme="minorHAnsi"/>
          <w:b/>
          <w:lang w:val="ro-RO"/>
        </w:rPr>
        <w:t>PR/NE/2024/P1/RSO1.1/1/2 - Infrastructuri CDI</w:t>
      </w:r>
    </w:p>
    <w:p w14:paraId="0C34633C" w14:textId="77777777" w:rsidR="005E5391" w:rsidRPr="005E5391" w:rsidRDefault="005E5391" w:rsidP="005E5391">
      <w:pPr>
        <w:jc w:val="right"/>
        <w:rPr>
          <w:rFonts w:cstheme="minorHAnsi"/>
          <w:b/>
          <w:lang w:val="ro-RO"/>
        </w:rPr>
      </w:pPr>
      <w:r w:rsidRPr="005E5391">
        <w:rPr>
          <w:rFonts w:cstheme="minorHAnsi"/>
          <w:b/>
          <w:lang w:val="ro-RO"/>
        </w:rPr>
        <w:t>Anexa 3</w:t>
      </w:r>
    </w:p>
    <w:p w14:paraId="50CFA427" w14:textId="77777777" w:rsidR="005E5391" w:rsidRPr="005E5391" w:rsidRDefault="005E5391" w:rsidP="005E5391">
      <w:pPr>
        <w:pStyle w:val="Titlu2"/>
        <w:numPr>
          <w:ilvl w:val="0"/>
          <w:numId w:val="0"/>
        </w:numPr>
        <w:pBdr>
          <w:top w:val="nil"/>
          <w:left w:val="nil"/>
          <w:bottom w:val="nil"/>
          <w:right w:val="nil"/>
          <w:between w:val="nil"/>
        </w:pBdr>
        <w:spacing w:before="100" w:beforeAutospacing="1" w:after="100" w:afterAutospacing="1"/>
        <w:jc w:val="center"/>
        <w:rPr>
          <w:rFonts w:asciiTheme="minorHAnsi" w:eastAsia="Montserrat" w:hAnsiTheme="minorHAnsi" w:cstheme="minorHAnsi"/>
          <w:b/>
          <w:bCs/>
          <w:color w:val="5B9BD5" w:themeColor="accent1"/>
          <w:sz w:val="24"/>
          <w:szCs w:val="24"/>
        </w:rPr>
      </w:pPr>
      <w:r w:rsidRPr="005E5391">
        <w:rPr>
          <w:rFonts w:asciiTheme="minorHAnsi" w:eastAsia="Montserrat" w:hAnsiTheme="minorHAnsi" w:cstheme="minorHAnsi"/>
          <w:b/>
          <w:bCs/>
          <w:color w:val="5B9BD5" w:themeColor="accent1"/>
          <w:sz w:val="24"/>
          <w:szCs w:val="24"/>
        </w:rPr>
        <w:t>Glosar de termeni specifici</w:t>
      </w:r>
    </w:p>
    <w:p w14:paraId="48D93E37" w14:textId="77777777" w:rsidR="005E5391" w:rsidRPr="005E5391" w:rsidRDefault="005E5391" w:rsidP="005E5391">
      <w:pPr>
        <w:spacing w:before="120" w:after="120"/>
        <w:jc w:val="both"/>
        <w:rPr>
          <w:rFonts w:cstheme="minorHAnsi"/>
          <w:iCs/>
          <w:lang w:val="ro-RO"/>
        </w:rPr>
      </w:pPr>
      <w:r w:rsidRPr="005E5391">
        <w:rPr>
          <w:rFonts w:cstheme="minorHAnsi"/>
          <w:lang w:val="ro-RO"/>
        </w:rPr>
        <w:t>În sensul prezentului Ghid, următorii termeni specifici se folosesc cu următoarele înțelesuri:</w:t>
      </w:r>
    </w:p>
    <w:tbl>
      <w:tblPr>
        <w:tblStyle w:val="Tabelgril"/>
        <w:tblW w:w="5000" w:type="pct"/>
        <w:tblLook w:val="04A0" w:firstRow="1" w:lastRow="0" w:firstColumn="1" w:lastColumn="0" w:noHBand="0" w:noVBand="1"/>
      </w:tblPr>
      <w:tblGrid>
        <w:gridCol w:w="729"/>
        <w:gridCol w:w="3018"/>
        <w:gridCol w:w="7015"/>
      </w:tblGrid>
      <w:tr w:rsidR="005E5391" w:rsidRPr="005E5391" w14:paraId="44C9C5F5" w14:textId="77777777" w:rsidTr="00E03436">
        <w:tc>
          <w:tcPr>
            <w:tcW w:w="339" w:type="pct"/>
            <w:vAlign w:val="center"/>
          </w:tcPr>
          <w:p w14:paraId="513499D9" w14:textId="77777777" w:rsidR="005E5391" w:rsidRPr="005E5391" w:rsidRDefault="005E5391" w:rsidP="005E5391">
            <w:pPr>
              <w:spacing w:before="240" w:after="240"/>
              <w:ind w:right="-78"/>
              <w:jc w:val="center"/>
              <w:rPr>
                <w:rFonts w:cstheme="minorHAnsi"/>
                <w:color w:val="5B9BD5" w:themeColor="accent1"/>
              </w:rPr>
            </w:pPr>
            <w:r w:rsidRPr="005E5391">
              <w:rPr>
                <w:rFonts w:cstheme="minorHAnsi"/>
                <w:b/>
                <w:bCs/>
              </w:rPr>
              <w:t>Nr. crt.</w:t>
            </w:r>
          </w:p>
        </w:tc>
        <w:tc>
          <w:tcPr>
            <w:tcW w:w="1402" w:type="pct"/>
            <w:vAlign w:val="center"/>
          </w:tcPr>
          <w:p w14:paraId="69FEF9D0" w14:textId="77777777" w:rsidR="005E5391" w:rsidRPr="005E5391" w:rsidRDefault="005E5391" w:rsidP="000B0DE5">
            <w:pPr>
              <w:spacing w:before="240" w:after="240"/>
              <w:jc w:val="center"/>
              <w:rPr>
                <w:rFonts w:cstheme="minorHAnsi"/>
                <w:b/>
                <w:bCs/>
                <w:color w:val="5B9BD5" w:themeColor="accent1"/>
              </w:rPr>
            </w:pPr>
            <w:r w:rsidRPr="005E5391">
              <w:rPr>
                <w:rFonts w:cstheme="minorHAnsi"/>
                <w:b/>
                <w:bCs/>
              </w:rPr>
              <w:t>Termen</w:t>
            </w:r>
          </w:p>
        </w:tc>
        <w:tc>
          <w:tcPr>
            <w:tcW w:w="3259" w:type="pct"/>
            <w:vAlign w:val="center"/>
          </w:tcPr>
          <w:p w14:paraId="75C2948C" w14:textId="77777777" w:rsidR="005E5391" w:rsidRPr="005E5391" w:rsidRDefault="005E5391" w:rsidP="000B0DE5">
            <w:pPr>
              <w:spacing w:before="240" w:after="240"/>
              <w:jc w:val="center"/>
              <w:rPr>
                <w:rFonts w:cstheme="minorHAnsi"/>
              </w:rPr>
            </w:pPr>
            <w:r w:rsidRPr="005E5391">
              <w:rPr>
                <w:rFonts w:cstheme="minorHAnsi"/>
                <w:b/>
                <w:bCs/>
              </w:rPr>
              <w:t>Definiție</w:t>
            </w:r>
          </w:p>
        </w:tc>
      </w:tr>
      <w:tr w:rsidR="005E5391" w:rsidRPr="008B3784" w14:paraId="440270E9" w14:textId="77777777" w:rsidTr="00E03436">
        <w:tc>
          <w:tcPr>
            <w:tcW w:w="339" w:type="pct"/>
          </w:tcPr>
          <w:p w14:paraId="0BBC0EAA"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88B4E3F" w14:textId="77777777" w:rsidR="005E5391" w:rsidRPr="005E5391" w:rsidRDefault="005E5391" w:rsidP="000B0DE5">
            <w:pPr>
              <w:rPr>
                <w:rFonts w:cstheme="minorHAnsi"/>
              </w:rPr>
            </w:pPr>
            <w:r w:rsidRPr="005E5391">
              <w:rPr>
                <w:rFonts w:cstheme="minorHAnsi"/>
              </w:rPr>
              <w:t>Activitate economică</w:t>
            </w:r>
          </w:p>
        </w:tc>
        <w:tc>
          <w:tcPr>
            <w:tcW w:w="3259" w:type="pct"/>
          </w:tcPr>
          <w:p w14:paraId="2345B376" w14:textId="77777777" w:rsidR="005E5391" w:rsidRPr="005E5391" w:rsidRDefault="005E5391" w:rsidP="000B0DE5">
            <w:pPr>
              <w:jc w:val="both"/>
              <w:rPr>
                <w:rFonts w:cstheme="minorHAnsi"/>
              </w:rPr>
            </w:pPr>
            <w:r w:rsidRPr="005E5391">
              <w:rPr>
                <w:rFonts w:cstheme="minorHAnsi"/>
              </w:rPr>
              <w:t>Reprezintă orice activitate care constă în furnizarea de bunuri, servicii și lucrări pe o piață data</w:t>
            </w:r>
            <w:r w:rsidRPr="005E5391">
              <w:rPr>
                <w:rStyle w:val="Referinnotdesubsol"/>
                <w:rFonts w:cstheme="minorHAnsi"/>
              </w:rPr>
              <w:footnoteReference w:id="1"/>
            </w:r>
          </w:p>
        </w:tc>
      </w:tr>
      <w:tr w:rsidR="005E5391" w:rsidRPr="008B3784" w14:paraId="1B1C8107" w14:textId="77777777" w:rsidTr="00E03436">
        <w:tc>
          <w:tcPr>
            <w:tcW w:w="339" w:type="pct"/>
          </w:tcPr>
          <w:p w14:paraId="2CB27995"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55EF01EC" w14:textId="77777777" w:rsidR="005E5391" w:rsidRPr="005E5391" w:rsidRDefault="005E5391" w:rsidP="000B0DE5">
            <w:pPr>
              <w:rPr>
                <w:rFonts w:cstheme="minorHAnsi"/>
              </w:rPr>
            </w:pPr>
            <w:r w:rsidRPr="005E5391">
              <w:rPr>
                <w:rFonts w:cstheme="minorHAnsi"/>
              </w:rPr>
              <w:t>Ajutoarele pentru proiecte de C&amp;D</w:t>
            </w:r>
          </w:p>
        </w:tc>
        <w:tc>
          <w:tcPr>
            <w:tcW w:w="3259" w:type="pct"/>
          </w:tcPr>
          <w:p w14:paraId="4D29AECC" w14:textId="77777777" w:rsidR="005E5391" w:rsidRPr="005E5391" w:rsidRDefault="005E5391" w:rsidP="000B0DE5">
            <w:pPr>
              <w:jc w:val="both"/>
              <w:rPr>
                <w:rFonts w:cstheme="minorHAnsi"/>
              </w:rPr>
            </w:pPr>
            <w:r w:rsidRPr="005E5391">
              <w:rPr>
                <w:rFonts w:cstheme="minorHAnsi"/>
              </w:rPr>
              <w:t xml:space="preserve">Aceste ajutoare vizează, în principal, eșecul pieței legat de externalizările pozitive (propagarea cunoștințelor), dar pot fi îndreptate și către un eșec al pieței cauzat de informații imperfecte și asimetrice sau (în special în proiectele de colaborare) un eșec de coordonare. </w:t>
            </w:r>
          </w:p>
          <w:p w14:paraId="5323AFCF" w14:textId="77777777" w:rsidR="005E5391" w:rsidRPr="005E5391" w:rsidRDefault="005E5391" w:rsidP="000B0DE5">
            <w:pPr>
              <w:jc w:val="both"/>
              <w:rPr>
                <w:rFonts w:cstheme="minorHAnsi"/>
              </w:rPr>
            </w:pPr>
            <w:r w:rsidRPr="005E5391">
              <w:rPr>
                <w:rFonts w:cstheme="minorHAnsi"/>
              </w:rPr>
              <w:t>Partea din proiectul de cercetare care beneficiază de ajutor se încadrează în categoriile de cercetare fundamentală și cercetare aplicată, aceasta din urmă putând fi împărțită în cercetare industrială și dezvoltare experimentală.</w:t>
            </w:r>
          </w:p>
        </w:tc>
      </w:tr>
      <w:tr w:rsidR="005E5391" w:rsidRPr="008B3784" w14:paraId="1857B0AA" w14:textId="77777777" w:rsidTr="00E03436">
        <w:tc>
          <w:tcPr>
            <w:tcW w:w="339" w:type="pct"/>
          </w:tcPr>
          <w:p w14:paraId="2F8EA171"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0DD432DD" w14:textId="77777777" w:rsidR="005E5391" w:rsidRPr="005E5391" w:rsidRDefault="005E5391" w:rsidP="000B0DE5">
            <w:pPr>
              <w:rPr>
                <w:rFonts w:cstheme="minorHAnsi"/>
              </w:rPr>
            </w:pPr>
            <w:r w:rsidRPr="005E5391">
              <w:rPr>
                <w:rFonts w:cstheme="minorHAnsi"/>
              </w:rPr>
              <w:t>Ajutoarele pentru construirea și modernizarea infrastructurilor de cercetare</w:t>
            </w:r>
          </w:p>
        </w:tc>
        <w:tc>
          <w:tcPr>
            <w:tcW w:w="3259" w:type="pct"/>
          </w:tcPr>
          <w:p w14:paraId="20AFEE5A" w14:textId="77777777" w:rsidR="005E5391" w:rsidRPr="005E5391" w:rsidRDefault="005E5391" w:rsidP="000B0DE5">
            <w:pPr>
              <w:jc w:val="both"/>
              <w:rPr>
                <w:rFonts w:cstheme="minorHAnsi"/>
              </w:rPr>
            </w:pPr>
            <w:r w:rsidRPr="005E5391">
              <w:rPr>
                <w:rFonts w:cstheme="minorHAnsi"/>
              </w:rPr>
              <w:t>Pentru construirea și modernizarea infrastructurilor de cercetare, care sunt destinate, în principal, remedierii unui eșec al pieței rezultat din dificultăți de coordonare, dar și din informații imperfecte și asimetrice. Infrastructurile de cercetare de înaltă calitate sunt din ce în ce mai necesare pentru o cercetare novatoare, întrucât acestea atrag talentele din întreaga lume și sunt esențiale, de exemplu, pentru tehnologiile informației și comunicațiilor și pentru tehnologiile generice esențiale. Costurile ridicate ale investițiilor inițiale pentru achiziționarea de instalații și echipamente științifice de ultimă generație utilizate pentru activități de cercetare în stadiu incipient, în special de către comunitatea științifică, fac adesea imposibilă găsirea finanțării necesare pe piață</w:t>
            </w:r>
          </w:p>
        </w:tc>
      </w:tr>
      <w:tr w:rsidR="005E5391" w:rsidRPr="008B3784" w14:paraId="5F375426" w14:textId="77777777" w:rsidTr="00E03436">
        <w:tc>
          <w:tcPr>
            <w:tcW w:w="339" w:type="pct"/>
          </w:tcPr>
          <w:p w14:paraId="7721258C"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DAA6A1D" w14:textId="77777777" w:rsidR="005E5391" w:rsidRPr="005E5391" w:rsidRDefault="005E5391" w:rsidP="000B0DE5">
            <w:pPr>
              <w:rPr>
                <w:rFonts w:cstheme="minorHAnsi"/>
              </w:rPr>
            </w:pPr>
            <w:r w:rsidRPr="005E5391">
              <w:rPr>
                <w:rFonts w:cstheme="minorHAnsi"/>
              </w:rPr>
              <w:t>Cercetare aplicată</w:t>
            </w:r>
          </w:p>
        </w:tc>
        <w:tc>
          <w:tcPr>
            <w:tcW w:w="3259" w:type="pct"/>
          </w:tcPr>
          <w:p w14:paraId="1DB5B6ED" w14:textId="77777777" w:rsidR="005E5391" w:rsidRPr="005E5391" w:rsidRDefault="005E5391" w:rsidP="000B0DE5">
            <w:pPr>
              <w:jc w:val="both"/>
              <w:rPr>
                <w:rFonts w:cstheme="minorHAnsi"/>
              </w:rPr>
            </w:pPr>
            <w:r w:rsidRPr="005E5391">
              <w:rPr>
                <w:rFonts w:cstheme="minorHAnsi"/>
              </w:rPr>
              <w:t>Cercetare industrială, dezvoltare experimentală sau orice combinație a acestora</w:t>
            </w:r>
          </w:p>
        </w:tc>
      </w:tr>
      <w:tr w:rsidR="005E5391" w:rsidRPr="008B3784" w14:paraId="3C997B54" w14:textId="77777777" w:rsidTr="00E03436">
        <w:tc>
          <w:tcPr>
            <w:tcW w:w="339" w:type="pct"/>
          </w:tcPr>
          <w:p w14:paraId="68A41C87"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AE7685E" w14:textId="77777777" w:rsidR="005E5391" w:rsidRPr="005E5391" w:rsidRDefault="005E5391" w:rsidP="000B0DE5">
            <w:pPr>
              <w:rPr>
                <w:rFonts w:cstheme="minorHAnsi"/>
                <w:highlight w:val="yellow"/>
              </w:rPr>
            </w:pPr>
            <w:r w:rsidRPr="005E5391">
              <w:rPr>
                <w:rFonts w:cstheme="minorHAnsi"/>
              </w:rPr>
              <w:t>Cercetare contractuală</w:t>
            </w:r>
          </w:p>
        </w:tc>
        <w:tc>
          <w:tcPr>
            <w:tcW w:w="3259" w:type="pct"/>
          </w:tcPr>
          <w:p w14:paraId="1A9BCB9F" w14:textId="77777777" w:rsidR="005E5391" w:rsidRPr="005E5391" w:rsidRDefault="005E5391" w:rsidP="000B0DE5">
            <w:pPr>
              <w:rPr>
                <w:rFonts w:cstheme="minorHAnsi"/>
              </w:rPr>
            </w:pPr>
            <w:r w:rsidRPr="005E5391">
              <w:rPr>
                <w:rFonts w:cstheme="minorHAnsi"/>
              </w:rPr>
              <w:t>Prestarea de către o organizație de cercetare a unui serviciu de cercetare pentru o întreprindere înseamnă îndeplinirea cel puțin a uneia dintre condițiile de mai jos:</w:t>
            </w:r>
          </w:p>
          <w:p w14:paraId="65DF54C6" w14:textId="77777777" w:rsidR="005E5391" w:rsidRPr="005E5391" w:rsidRDefault="005E5391" w:rsidP="000B0DE5">
            <w:pPr>
              <w:jc w:val="both"/>
              <w:rPr>
                <w:rFonts w:cstheme="minorHAnsi"/>
              </w:rPr>
            </w:pPr>
            <w:r w:rsidRPr="005E5391">
              <w:rPr>
                <w:rFonts w:cstheme="minorHAnsi"/>
              </w:rPr>
              <w:t>a) organizația de cercetare furnizează serviciul de cercetare sau cercetarea contractuală la prețul pieței; sau</w:t>
            </w:r>
          </w:p>
          <w:p w14:paraId="43C40ABE" w14:textId="77777777" w:rsidR="005E5391" w:rsidRPr="005E5391" w:rsidRDefault="005E5391" w:rsidP="000B0DE5">
            <w:pPr>
              <w:jc w:val="both"/>
              <w:rPr>
                <w:rFonts w:cstheme="minorHAnsi"/>
              </w:rPr>
            </w:pPr>
            <w:r w:rsidRPr="005E5391">
              <w:rPr>
                <w:rFonts w:cstheme="minorHAnsi"/>
              </w:rPr>
              <w:t>b) dacă nu există un preț al pieței, organizația de cercetare prestează serviciul de cercetare sau cercetarea contractuală la un preț care:</w:t>
            </w:r>
          </w:p>
          <w:p w14:paraId="52DCFA8E" w14:textId="77777777" w:rsidR="005E5391" w:rsidRPr="005E5391" w:rsidRDefault="005E5391" w:rsidP="000B0DE5">
            <w:pPr>
              <w:pStyle w:val="Listparagraf"/>
              <w:numPr>
                <w:ilvl w:val="3"/>
                <w:numId w:val="2"/>
              </w:numPr>
              <w:spacing w:line="240" w:lineRule="auto"/>
              <w:ind w:left="741" w:hanging="284"/>
              <w:contextualSpacing w:val="0"/>
              <w:jc w:val="both"/>
              <w:rPr>
                <w:rFonts w:asciiTheme="minorHAnsi" w:hAnsiTheme="minorHAnsi" w:cstheme="minorHAnsi"/>
              </w:rPr>
            </w:pPr>
            <w:r w:rsidRPr="005E5391">
              <w:rPr>
                <w:rFonts w:asciiTheme="minorHAnsi" w:hAnsiTheme="minorHAnsi" w:cstheme="minorHAnsi"/>
              </w:rPr>
              <w:t>reflectă costurile integrale ale serviciului şi include în general o marjă stabilită în funcție de marjele aplicate în mod obișnuit de întreprinderi active în sectorul serviciului în cauză; sau</w:t>
            </w:r>
          </w:p>
          <w:p w14:paraId="02850A22" w14:textId="77777777" w:rsidR="005E5391" w:rsidRPr="005E5391" w:rsidRDefault="005E5391" w:rsidP="000B0DE5">
            <w:pPr>
              <w:pStyle w:val="Listparagraf"/>
              <w:numPr>
                <w:ilvl w:val="3"/>
                <w:numId w:val="2"/>
              </w:numPr>
              <w:spacing w:line="240" w:lineRule="auto"/>
              <w:ind w:left="741" w:hanging="284"/>
              <w:contextualSpacing w:val="0"/>
              <w:jc w:val="both"/>
              <w:rPr>
                <w:rFonts w:asciiTheme="minorHAnsi" w:hAnsiTheme="minorHAnsi" w:cstheme="minorHAnsi"/>
              </w:rPr>
            </w:pPr>
            <w:r w:rsidRPr="005E5391">
              <w:rPr>
                <w:rFonts w:asciiTheme="minorHAnsi" w:hAnsiTheme="minorHAnsi" w:cstheme="minorHAnsi"/>
              </w:rPr>
              <w:t xml:space="preserve">este rezultatul unor negocieri pe baza principiului deplinei concurențe, în cadrul cărora organizația de cercetare, în calitatea sa de prestator de </w:t>
            </w:r>
            <w:r w:rsidRPr="005E5391">
              <w:rPr>
                <w:rFonts w:asciiTheme="minorHAnsi" w:hAnsiTheme="minorHAnsi" w:cstheme="minorHAnsi"/>
              </w:rPr>
              <w:lastRenderedPageBreak/>
              <w:t>servicii, negociază pentru a obține beneficiul economic maxim în momentul în care este încheiat contractul şi își acoperă cel puțin costurile marginale.</w:t>
            </w:r>
          </w:p>
          <w:p w14:paraId="44E26715" w14:textId="77777777" w:rsidR="005E5391" w:rsidRPr="005E5391" w:rsidRDefault="005E5391" w:rsidP="000B0DE5">
            <w:pPr>
              <w:jc w:val="both"/>
              <w:rPr>
                <w:rFonts w:cstheme="minorHAnsi"/>
              </w:rPr>
            </w:pPr>
            <w:r w:rsidRPr="005E5391">
              <w:rPr>
                <w:rFonts w:cstheme="minorHAnsi"/>
              </w:rPr>
              <w:t>În cazul în care organizația de cercetare sau infrastructura de cercetare păstrează dreptul de proprietate sau drepturile de acces la drepturile de proprietate intelectuală, valoarea de piață a acestora poate fi dedusă din prețul plătibil pentru serviciile în cauză.</w:t>
            </w:r>
          </w:p>
        </w:tc>
      </w:tr>
      <w:tr w:rsidR="005E5391" w:rsidRPr="008B3784" w14:paraId="664BFAF0" w14:textId="77777777" w:rsidTr="00E03436">
        <w:tc>
          <w:tcPr>
            <w:tcW w:w="339" w:type="pct"/>
          </w:tcPr>
          <w:p w14:paraId="671D292B"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4C146C9" w14:textId="77777777" w:rsidR="005E5391" w:rsidRPr="005E5391" w:rsidRDefault="005E5391" w:rsidP="000B0DE5">
            <w:pPr>
              <w:rPr>
                <w:rFonts w:cstheme="minorHAnsi"/>
              </w:rPr>
            </w:pPr>
            <w:r w:rsidRPr="005E5391">
              <w:rPr>
                <w:rFonts w:cstheme="minorHAnsi"/>
              </w:rPr>
              <w:t>Cercetare industrială</w:t>
            </w:r>
          </w:p>
        </w:tc>
        <w:tc>
          <w:tcPr>
            <w:tcW w:w="3259" w:type="pct"/>
          </w:tcPr>
          <w:p w14:paraId="65C589FF" w14:textId="77777777" w:rsidR="005E5391" w:rsidRPr="005E5391" w:rsidRDefault="005E5391" w:rsidP="000B0DE5">
            <w:pPr>
              <w:jc w:val="both"/>
              <w:rPr>
                <w:rFonts w:cstheme="minorHAnsi"/>
              </w:rPr>
            </w:pPr>
            <w:r w:rsidRPr="005E5391">
              <w:rPr>
                <w:rFonts w:cstheme="minorHAnsi"/>
              </w:rPr>
              <w:t>Cercetare sau investigație critică planificată în scopul dobândirii de cunoștințe și competențe noi pentru elaborarea unor noi produse, procese sau servicii ori pentru realizarea unei îmbunătățiri semnificative a produselor, proceselor sau serviciilor existente, inclusiv a produselor, proceselor sau serviciilor digitale, în orice domeniu, tehnologie, industrie sau sector (inclusiv, dar fără a se limita la acestea, industrii și tehnologii digitale, cum ar fi super-calculul, tehnologiile cuantice, tehnologiile blockchain, inteligența artificială, securitatea cibernetică, volumele mari de date și tehnologiile de tip cloud). Cercetarea industrială cuprinde crearea de părți componente pentru sisteme complexe și poate include construcția de prototipuri în laborator sau într-un mediu cu interfețe simulate ale sistemelor existente, precum și de linii pilot, atunci când acest lucru este necesar pentru cercetarea industrială și, în special, pentru validarea tehnologiilor generice;</w:t>
            </w:r>
          </w:p>
        </w:tc>
      </w:tr>
      <w:tr w:rsidR="00C54534" w:rsidRPr="008B3784" w14:paraId="51A25681" w14:textId="77777777" w:rsidTr="00E03436">
        <w:tc>
          <w:tcPr>
            <w:tcW w:w="339" w:type="pct"/>
          </w:tcPr>
          <w:p w14:paraId="70789E04" w14:textId="77777777" w:rsidR="00C54534" w:rsidRPr="005E5391" w:rsidRDefault="00C54534"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5E52FEFB" w14:textId="5E07F7E7" w:rsidR="00C54534" w:rsidRPr="005E5391" w:rsidRDefault="00C54534" w:rsidP="000B0DE5">
            <w:pPr>
              <w:rPr>
                <w:rFonts w:cstheme="minorHAnsi"/>
              </w:rPr>
            </w:pPr>
            <w:r w:rsidRPr="00C54534">
              <w:rPr>
                <w:rFonts w:cstheme="minorHAnsi"/>
              </w:rPr>
              <w:t>Cercetător</w:t>
            </w:r>
          </w:p>
        </w:tc>
        <w:tc>
          <w:tcPr>
            <w:tcW w:w="3259" w:type="pct"/>
          </w:tcPr>
          <w:p w14:paraId="2F355415" w14:textId="35C29E4F" w:rsidR="00C54534" w:rsidRPr="00C54534" w:rsidRDefault="00C54534" w:rsidP="00C54534">
            <w:pPr>
              <w:jc w:val="both"/>
              <w:rPr>
                <w:rFonts w:cstheme="minorHAnsi"/>
              </w:rPr>
            </w:pPr>
            <w:r w:rsidRPr="00C54534">
              <w:rPr>
                <w:rFonts w:cstheme="minorHAnsi"/>
              </w:rPr>
              <w:t>Conform Legii 183 din 10 iunie 2024 privind statutul personalului de cercetare, dezvoltare și inovare, cercetătorii științifici sunt definiți ca</w:t>
            </w:r>
            <w:r w:rsidR="00B862CE">
              <w:rPr>
                <w:rFonts w:cstheme="minorHAnsi"/>
              </w:rPr>
              <w:t>:</w:t>
            </w:r>
            <w:r w:rsidRPr="00C54534">
              <w:rPr>
                <w:rFonts w:cstheme="minorHAnsi"/>
              </w:rPr>
              <w:t xml:space="preserve"> profesioniști implicați în conceperea sau crearea de noi cunoștințe științifice bazate pe concepte sau ipoteze originale, care desfășoară activități de cercetare și îmbunătățesc sau dezvoltă concepte, teorii, modele, tehnici, instrumente, software sau metode operaționale. Cercetătorii științifici identifică opțiuni pentru noi activități de cercetare și dezvoltare, pe care le planifică și le gestionează utilizând competențe și cunoștințe de nivel înalt dobândite prin educație și formare profesională sau prin experiența practică acumulată în urma desfășurării de activități de cercetare.</w:t>
            </w:r>
          </w:p>
          <w:p w14:paraId="47CAB673" w14:textId="77777777" w:rsidR="00C54534" w:rsidRDefault="00C54534" w:rsidP="00C54534">
            <w:pPr>
              <w:jc w:val="both"/>
              <w:rPr>
                <w:rFonts w:cstheme="minorHAnsi"/>
              </w:rPr>
            </w:pPr>
          </w:p>
          <w:p w14:paraId="2BE77B4D" w14:textId="3EBBDAEE" w:rsidR="00C54534" w:rsidRPr="00C54534" w:rsidRDefault="00C54534" w:rsidP="00C54534">
            <w:pPr>
              <w:jc w:val="both"/>
              <w:rPr>
                <w:rFonts w:cstheme="minorHAnsi"/>
              </w:rPr>
            </w:pPr>
            <w:r w:rsidRPr="00C54534">
              <w:rPr>
                <w:rFonts w:cstheme="minorHAnsi"/>
              </w:rPr>
              <w:t>Cercetătorii științifici cu studii superioare, care desfășoară activități CDI, se diferențiază pe funcții și grade profesionale de cercetare-dezvoltare, păstrând echivalența cu gradele profesionale prevăzute în Carta Europeană a Cercetătorilor, după cum urmează:</w:t>
            </w:r>
          </w:p>
          <w:p w14:paraId="6A72125C" w14:textId="77777777" w:rsidR="00C54534" w:rsidRPr="00C54534" w:rsidRDefault="00C54534" w:rsidP="00C54534">
            <w:pPr>
              <w:jc w:val="both"/>
              <w:rPr>
                <w:rFonts w:cstheme="minorHAnsi"/>
              </w:rPr>
            </w:pPr>
            <w:r w:rsidRPr="00C54534">
              <w:rPr>
                <w:rFonts w:cstheme="minorHAnsi"/>
              </w:rPr>
              <w:t>a) cercetători seniori, deținând titlul de doctor:</w:t>
            </w:r>
          </w:p>
          <w:p w14:paraId="35374803" w14:textId="77777777" w:rsidR="00C54534" w:rsidRPr="00C54534" w:rsidRDefault="00C54534" w:rsidP="00C54534">
            <w:pPr>
              <w:jc w:val="both"/>
              <w:rPr>
                <w:rFonts w:cstheme="minorHAnsi"/>
              </w:rPr>
            </w:pPr>
            <w:r w:rsidRPr="00C54534">
              <w:rPr>
                <w:rFonts w:cstheme="minorHAnsi"/>
              </w:rPr>
              <w:t xml:space="preserve">     (i) cercetător principal (R4): cercetător științific gradul I - CS I;</w:t>
            </w:r>
          </w:p>
          <w:p w14:paraId="24D266D8" w14:textId="77777777" w:rsidR="00C54534" w:rsidRPr="00C54534" w:rsidRDefault="00C54534" w:rsidP="00C54534">
            <w:pPr>
              <w:jc w:val="both"/>
              <w:rPr>
                <w:rFonts w:cstheme="minorHAnsi"/>
              </w:rPr>
            </w:pPr>
            <w:r w:rsidRPr="00C54534">
              <w:rPr>
                <w:rFonts w:cstheme="minorHAnsi"/>
              </w:rPr>
              <w:t xml:space="preserve">     (ii) cercetător consacrat (R3): cercetător științific gradul II - CS II;</w:t>
            </w:r>
          </w:p>
          <w:p w14:paraId="36C03872" w14:textId="77777777" w:rsidR="00C54534" w:rsidRPr="00C54534" w:rsidRDefault="00C54534" w:rsidP="00C54534">
            <w:pPr>
              <w:jc w:val="both"/>
              <w:rPr>
                <w:rFonts w:cstheme="minorHAnsi"/>
              </w:rPr>
            </w:pPr>
            <w:r w:rsidRPr="00C54534">
              <w:rPr>
                <w:rFonts w:cstheme="minorHAnsi"/>
              </w:rPr>
              <w:t>b) cercetător recunoscut (R2), deținând titlul de doctor: cercetător științific gradul III - CS III;</w:t>
            </w:r>
          </w:p>
          <w:p w14:paraId="07424E4D" w14:textId="77777777" w:rsidR="00C54534" w:rsidRPr="00C54534" w:rsidRDefault="00C54534" w:rsidP="00C54534">
            <w:pPr>
              <w:jc w:val="both"/>
              <w:rPr>
                <w:rFonts w:cstheme="minorHAnsi"/>
              </w:rPr>
            </w:pPr>
            <w:r w:rsidRPr="00C54534">
              <w:rPr>
                <w:rFonts w:cstheme="minorHAnsi"/>
              </w:rPr>
              <w:t>c) cercetător debutant (R1), deținând titlul de doctor sau având calitatea de student doctorand: cercetător științific - CS;</w:t>
            </w:r>
          </w:p>
          <w:p w14:paraId="310CC305" w14:textId="15C28E22" w:rsidR="00C54534" w:rsidRPr="005E5391" w:rsidRDefault="00C54534" w:rsidP="00C54534">
            <w:pPr>
              <w:jc w:val="both"/>
              <w:rPr>
                <w:rFonts w:cstheme="minorHAnsi"/>
              </w:rPr>
            </w:pPr>
            <w:r w:rsidRPr="00C54534">
              <w:rPr>
                <w:rFonts w:cstheme="minorHAnsi"/>
              </w:rPr>
              <w:t>d) asistent în activitatea de cercetare științifică, licențiat: asistent de cercetare științifică - ACS.</w:t>
            </w:r>
          </w:p>
        </w:tc>
      </w:tr>
      <w:tr w:rsidR="005E5391" w:rsidRPr="008B3784" w14:paraId="758651CB" w14:textId="77777777" w:rsidTr="00E03436">
        <w:tc>
          <w:tcPr>
            <w:tcW w:w="339" w:type="pct"/>
          </w:tcPr>
          <w:p w14:paraId="0BE6BA55"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2D870CFF" w14:textId="77777777" w:rsidR="005E5391" w:rsidRPr="005E5391" w:rsidRDefault="005E5391" w:rsidP="000B0DE5">
            <w:pPr>
              <w:rPr>
                <w:rFonts w:cstheme="minorHAnsi"/>
              </w:rPr>
            </w:pPr>
            <w:r w:rsidRPr="005E5391">
              <w:rPr>
                <w:rFonts w:cstheme="minorHAnsi"/>
              </w:rPr>
              <w:t>Costuri cu personalul</w:t>
            </w:r>
          </w:p>
        </w:tc>
        <w:tc>
          <w:tcPr>
            <w:tcW w:w="3259" w:type="pct"/>
          </w:tcPr>
          <w:p w14:paraId="310A5C5E" w14:textId="77777777" w:rsidR="005E5391" w:rsidRPr="005E5391" w:rsidRDefault="005E5391" w:rsidP="000B0DE5">
            <w:pPr>
              <w:jc w:val="both"/>
              <w:rPr>
                <w:rFonts w:cstheme="minorHAnsi"/>
              </w:rPr>
            </w:pPr>
            <w:r w:rsidRPr="005E5391">
              <w:rPr>
                <w:rFonts w:cstheme="minorHAnsi"/>
              </w:rPr>
              <w:t>Costul cercetătorilor, al tehnicienilor și al altor membri ai personalului auxiliar în măsura în care sunt angajați în proiectul sau activitatea respectivă;</w:t>
            </w:r>
          </w:p>
        </w:tc>
      </w:tr>
      <w:tr w:rsidR="005E5391" w:rsidRPr="008B3784" w14:paraId="2F429CD9" w14:textId="77777777" w:rsidTr="00E03436">
        <w:tc>
          <w:tcPr>
            <w:tcW w:w="339" w:type="pct"/>
          </w:tcPr>
          <w:p w14:paraId="3CFCDC2C"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B974E8A" w14:textId="77777777" w:rsidR="005E5391" w:rsidRPr="005E5391" w:rsidRDefault="005E5391" w:rsidP="000B0DE5">
            <w:pPr>
              <w:rPr>
                <w:rFonts w:cstheme="minorHAnsi"/>
              </w:rPr>
            </w:pPr>
            <w:r w:rsidRPr="005E5391">
              <w:rPr>
                <w:rFonts w:cstheme="minorHAnsi"/>
              </w:rPr>
              <w:t xml:space="preserve">Demararea lucrărilor </w:t>
            </w:r>
          </w:p>
        </w:tc>
        <w:tc>
          <w:tcPr>
            <w:tcW w:w="3259" w:type="pct"/>
          </w:tcPr>
          <w:p w14:paraId="06ACD3B6" w14:textId="77777777" w:rsidR="005E5391" w:rsidRPr="005E5391" w:rsidRDefault="005E5391" w:rsidP="000B0DE5">
            <w:pPr>
              <w:jc w:val="both"/>
              <w:rPr>
                <w:rFonts w:cstheme="minorHAnsi"/>
              </w:rPr>
            </w:pPr>
            <w:r w:rsidRPr="005E5391">
              <w:rPr>
                <w:rFonts w:cstheme="minorHAnsi"/>
              </w:rPr>
              <w:t>Înseamnă fie demararea lucrărilor de construcţii în cadrul investiţiei, fie primul angajament cu caracter juridic obligatoriu de comandă pentru echipamente sau oricare alt angajament prin care investiţia devine ireversibilă, în funcţie de care are loc primul. Cumpărarea de terenuri și lucrările pregătitoare, cum ar fi obţinerea permiselor și realizarea studiilor de fezabilitate, nu sunt considerate drept demarare a lucrărilor.</w:t>
            </w:r>
          </w:p>
        </w:tc>
      </w:tr>
      <w:tr w:rsidR="005E5391" w:rsidRPr="008B3784" w14:paraId="57EC8257" w14:textId="77777777" w:rsidTr="00E03436">
        <w:tc>
          <w:tcPr>
            <w:tcW w:w="339" w:type="pct"/>
          </w:tcPr>
          <w:p w14:paraId="2987FF5C"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15C2DAF" w14:textId="77777777" w:rsidR="005E5391" w:rsidRPr="005E5391" w:rsidRDefault="005E5391" w:rsidP="000B0DE5">
            <w:pPr>
              <w:rPr>
                <w:rFonts w:cstheme="minorHAnsi"/>
              </w:rPr>
            </w:pPr>
            <w:r w:rsidRPr="005E5391">
              <w:rPr>
                <w:rFonts w:cstheme="minorHAnsi"/>
              </w:rPr>
              <w:t>Dezvoltare experimentală</w:t>
            </w:r>
          </w:p>
        </w:tc>
        <w:tc>
          <w:tcPr>
            <w:tcW w:w="3259" w:type="pct"/>
          </w:tcPr>
          <w:p w14:paraId="2851746F" w14:textId="77777777" w:rsidR="005E5391" w:rsidRPr="005E5391" w:rsidRDefault="005E5391" w:rsidP="000B0DE5">
            <w:pPr>
              <w:jc w:val="both"/>
              <w:rPr>
                <w:rFonts w:cstheme="minorHAnsi"/>
              </w:rPr>
            </w:pPr>
            <w:r w:rsidRPr="005E5391">
              <w:rPr>
                <w:rFonts w:cstheme="minorHAnsi"/>
              </w:rPr>
              <w:t xml:space="preserve">Dobândirea, combinarea, modelarea și utilizarea unor cunoștințe și competențe relevante existente de ordin științific, tehnologic, de afaceri și altele, cu scopul de a dezvolta produse, procese sau servicii noi ori </w:t>
            </w:r>
            <w:r w:rsidRPr="005E5391">
              <w:rPr>
                <w:rFonts w:cstheme="minorHAnsi"/>
              </w:rPr>
              <w:lastRenderedPageBreak/>
              <w:t>îmbunătățite, inclusiv produse, procese sau servicii digitale, în orice domeniu, tehnologie, industrie sau sector (inclusiv, dar fără a se limita la acestea, industrii și tehnologii digitale, cum ar fi, de exemplu, super calculul, tehnologiile cuantice, tehnologiile blockchain, inteligența artificială, securitatea cibernetică, volumele mari de date și tehnologiile de tip cloud sau edge). Aceasta poate cuprinde, de exemplu, și activități care vizează definirea, planificarea și documentarea conceptuală a unor noi produse, procese sau servicii. Dezvoltarea experimentală poate include crearea de prototipuri, demonstrarea, crearea de proiecte-pilot, testarea și validarea unor produse, procese sau servicii noi sau îmbunătățite în medii reprezentative pentru condițiile de funcționare reale, în cazul în care obiectivul principal este de a aduce noi îmbunătățiri tehnice produselor, proceselor sau serviciilor care nu sunt definitivate în mod substanțial. Aceasta poate include dezvoltarea unui prototip sau produs-pilot utilizabil comercial care este în mod obligatoriu produsul comercial final și a cărui producție este prea costisitoare pentru ca acesta să fie utilizat exclusiv în scopuri demonstrative și de validare. Dezvoltarea experimentală nu include modificările de rutină sau periodice aduse produselor, liniilor de producție, proceselor de fabricație și serviciilor existente sau altor operațiuni în curs, chiar dacă modificările respective pot reprezenta ameliorări;</w:t>
            </w:r>
          </w:p>
        </w:tc>
      </w:tr>
      <w:tr w:rsidR="005E5391" w:rsidRPr="008B3784" w14:paraId="00A0CEDF" w14:textId="77777777" w:rsidTr="00E03436">
        <w:tc>
          <w:tcPr>
            <w:tcW w:w="339" w:type="pct"/>
          </w:tcPr>
          <w:p w14:paraId="27513067"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0BAAF5D" w14:textId="77777777" w:rsidR="005E5391" w:rsidRPr="005E5391" w:rsidRDefault="005E5391" w:rsidP="000B0DE5">
            <w:pPr>
              <w:rPr>
                <w:rFonts w:cstheme="minorHAnsi"/>
              </w:rPr>
            </w:pPr>
            <w:r w:rsidRPr="005E5391">
              <w:rPr>
                <w:rFonts w:cstheme="minorHAnsi"/>
              </w:rPr>
              <w:t>Începerea lucrărilor, sau „începerea proiectului”</w:t>
            </w:r>
          </w:p>
        </w:tc>
        <w:tc>
          <w:tcPr>
            <w:tcW w:w="3259" w:type="pct"/>
          </w:tcPr>
          <w:p w14:paraId="44E67BB8" w14:textId="77777777" w:rsidR="005E5391" w:rsidRPr="005E5391" w:rsidRDefault="005E5391" w:rsidP="000B0DE5">
            <w:pPr>
              <w:jc w:val="both"/>
              <w:rPr>
                <w:rFonts w:cstheme="minorHAnsi"/>
              </w:rPr>
            </w:pPr>
            <w:r w:rsidRPr="005E5391">
              <w:rPr>
                <w:rFonts w:cstheme="minorHAnsi"/>
              </w:rPr>
              <w:t xml:space="preserve">Fie începerea activităților de CDI, fie primul acord dintre beneficiar și contractanți privind desfășurarea proiectului, în funcție de evenimentul care survine mai întâi. </w:t>
            </w:r>
          </w:p>
          <w:p w14:paraId="59252246" w14:textId="77777777" w:rsidR="005E5391" w:rsidRPr="005E5391" w:rsidRDefault="005E5391" w:rsidP="000B0DE5">
            <w:pPr>
              <w:jc w:val="both"/>
              <w:rPr>
                <w:rFonts w:cstheme="minorHAnsi"/>
              </w:rPr>
            </w:pPr>
            <w:r w:rsidRPr="005E5391">
              <w:rPr>
                <w:rFonts w:cstheme="minorHAnsi"/>
              </w:rPr>
              <w:t>Lucrările pregătitoare, cum ar fi obținerea permiselor, elaborarea studiilor de fezabilitate și a celorlalte documente necesare depunerii proiectului nu sunt considerate începerea lucrărilor.</w:t>
            </w:r>
          </w:p>
        </w:tc>
      </w:tr>
      <w:tr w:rsidR="005E5391" w:rsidRPr="005E5391" w14:paraId="49DD55F8" w14:textId="77777777" w:rsidTr="00E03436">
        <w:tc>
          <w:tcPr>
            <w:tcW w:w="339" w:type="pct"/>
          </w:tcPr>
          <w:p w14:paraId="342CE2A8"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9000FDD" w14:textId="77777777" w:rsidR="005E5391" w:rsidRPr="005E5391" w:rsidRDefault="005E5391" w:rsidP="000B0DE5">
            <w:pPr>
              <w:rPr>
                <w:rFonts w:cstheme="minorHAnsi"/>
              </w:rPr>
            </w:pPr>
            <w:r w:rsidRPr="005E5391">
              <w:rPr>
                <w:rFonts w:cstheme="minorHAnsi"/>
              </w:rPr>
              <w:t>Infrastructură de cercetare</w:t>
            </w:r>
            <w:r w:rsidRPr="005E5391">
              <w:rPr>
                <w:rStyle w:val="Referinnotdesubsol"/>
                <w:rFonts w:cstheme="minorHAnsi"/>
              </w:rPr>
              <w:footnoteReference w:id="2"/>
            </w:r>
          </w:p>
        </w:tc>
        <w:tc>
          <w:tcPr>
            <w:tcW w:w="3259" w:type="pct"/>
          </w:tcPr>
          <w:p w14:paraId="526D658B" w14:textId="77777777" w:rsidR="005E5391" w:rsidRPr="005E5391" w:rsidRDefault="005E5391" w:rsidP="000B0DE5">
            <w:pPr>
              <w:jc w:val="both"/>
              <w:rPr>
                <w:rFonts w:cstheme="minorHAnsi"/>
              </w:rPr>
            </w:pPr>
            <w:bookmarkStart w:id="0" w:name="_Hlk136247138"/>
            <w:r w:rsidRPr="005E5391">
              <w:rPr>
                <w:rFonts w:cstheme="minorHAnsi"/>
              </w:rPr>
              <w:t>Ansamblul elementelor constând în infrastructură, instalații, resurse și servicii conexe utilizate de comunitatea științifică pentru a desfășura activități de cercetare în domeniile sale respective și cuprinde principalele echipamente sau seturi de instrumente științifice, resurse de cunoștințe precum colecții, arhive sau informații științifice structurate, infrastructurile generice bazate pe tehnologia informației și comunicațiilor cum ar fi rețelele, materialul informatic, programele de software și instrumentele de comunicare, precum și orice alte mijloace necesare pentru desfășurarea activităților de cercetare. Asemenea infrastructuri pot fi „localizate” într-un singur sit sau „distribuite” (o rețea organizată de resurse)</w:t>
            </w:r>
            <w:r w:rsidRPr="005E5391">
              <w:rPr>
                <w:rStyle w:val="Referinnotdesubsol"/>
                <w:rFonts w:cstheme="minorHAnsi"/>
              </w:rPr>
              <w:footnoteReference w:id="3"/>
            </w:r>
            <w:bookmarkEnd w:id="0"/>
          </w:p>
        </w:tc>
      </w:tr>
      <w:tr w:rsidR="005E5391" w:rsidRPr="008B3784" w14:paraId="68A194C8" w14:textId="77777777" w:rsidTr="00E03436">
        <w:tc>
          <w:tcPr>
            <w:tcW w:w="339" w:type="pct"/>
          </w:tcPr>
          <w:p w14:paraId="4B37E814"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ACF3111" w14:textId="77777777" w:rsidR="005E5391" w:rsidRPr="005E5391" w:rsidRDefault="005E5391" w:rsidP="000B0DE5">
            <w:pPr>
              <w:rPr>
                <w:rFonts w:cstheme="minorHAnsi"/>
              </w:rPr>
            </w:pPr>
            <w:r w:rsidRPr="005E5391">
              <w:rPr>
                <w:rFonts w:cstheme="minorHAnsi"/>
              </w:rPr>
              <w:t>Facilități sau platforme de testare și experimentare</w:t>
            </w:r>
          </w:p>
        </w:tc>
        <w:tc>
          <w:tcPr>
            <w:tcW w:w="3259" w:type="pct"/>
          </w:tcPr>
          <w:p w14:paraId="399A1EEF" w14:textId="77777777" w:rsidR="005E5391" w:rsidRPr="005E5391" w:rsidRDefault="005E5391" w:rsidP="000B0DE5">
            <w:pPr>
              <w:jc w:val="both"/>
              <w:rPr>
                <w:rFonts w:cstheme="minorHAnsi"/>
              </w:rPr>
            </w:pPr>
            <w:r w:rsidRPr="005E5391">
              <w:rPr>
                <w:rFonts w:cstheme="minorHAnsi"/>
              </w:rPr>
              <w:t xml:space="preserve">Ansamblul elementelor constând în instalaţiile, echipamentele, capacităţile și resursele, ca, de exemplu, bancurile de încercare, liniile-pilot, demonstratorii, instalaţiile de testare sau laboratoarele vii, precum și serviciile de sprijin conexe utilizate în principal de întreprinderile, în special IMM-uri, care încearcă să obţină sprijin pentru testare și experimentare, în scopul de a dezvolta produse, procese și servicii noi sau îmbunătăţite, precum și pentru testarea și extinderea utilizării tehnologiilor, pentru a avansa prin cercetare industrială și dezvoltare experimentală. Accesul la facilitățile sau platformele de testare și experimentare finanţate din fonduri publice este deschis mai multor utilizatori și trebuie să fie acordat în mod transparent și nediscriminatoriu și în condiţiile pieţei. </w:t>
            </w:r>
          </w:p>
        </w:tc>
      </w:tr>
      <w:tr w:rsidR="005E5391" w:rsidRPr="008B3784" w14:paraId="543E14C8" w14:textId="77777777" w:rsidTr="00E03436">
        <w:tc>
          <w:tcPr>
            <w:tcW w:w="339" w:type="pct"/>
          </w:tcPr>
          <w:p w14:paraId="19D5B452"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6736456" w14:textId="77777777" w:rsidR="005E5391" w:rsidRPr="005E5391" w:rsidRDefault="005E5391" w:rsidP="000B0DE5">
            <w:pPr>
              <w:rPr>
                <w:rFonts w:cstheme="minorHAnsi"/>
              </w:rPr>
            </w:pPr>
            <w:r w:rsidRPr="005E5391">
              <w:rPr>
                <w:rFonts w:cstheme="minorHAnsi"/>
              </w:rPr>
              <w:t>Inovarea</w:t>
            </w:r>
          </w:p>
        </w:tc>
        <w:tc>
          <w:tcPr>
            <w:tcW w:w="3259" w:type="pct"/>
          </w:tcPr>
          <w:p w14:paraId="03DD1A14" w14:textId="77777777" w:rsidR="005E5391" w:rsidRPr="005E5391" w:rsidRDefault="005E5391" w:rsidP="000B0DE5">
            <w:pPr>
              <w:jc w:val="both"/>
              <w:rPr>
                <w:rFonts w:cstheme="minorHAnsi"/>
              </w:rPr>
            </w:pPr>
            <w:r w:rsidRPr="005E5391">
              <w:rPr>
                <w:rFonts w:cstheme="minorHAnsi"/>
              </w:rPr>
              <w:t xml:space="preserve">Activitate din care rezultă un produs (bun sau serviciu) nou sau semnificativ îmbunătățit, sau un proces nou sau semnificativ îmbunătățit, o metodă nouă de marketing sau o metodă nouă organizațională. Inovarea este bazată pe rezultatele unor tehnologii noi, a unor dezvoltări tehnologice, a noi combinații ale tehnologiei existente sau utilizarea altor cunoștințe obținute </w:t>
            </w:r>
            <w:r w:rsidRPr="005E5391">
              <w:rPr>
                <w:rFonts w:cstheme="minorHAnsi"/>
              </w:rPr>
              <w:lastRenderedPageBreak/>
              <w:t>de întreprindere. Aceasta trebuie să fie nouă pentru întreprindere, dar nu este necesar să fie nouă pentru sectorul de activitate sau pentru piață. Nu are importanță dacă inovația a apărut inițial în întreprinderea respondentă sau în alte întreprinderi.</w:t>
            </w:r>
          </w:p>
        </w:tc>
      </w:tr>
      <w:tr w:rsidR="005E5391" w:rsidRPr="008B3784" w14:paraId="2AC58E38" w14:textId="77777777" w:rsidTr="00E03436">
        <w:tc>
          <w:tcPr>
            <w:tcW w:w="339" w:type="pct"/>
          </w:tcPr>
          <w:p w14:paraId="6CB01A3D"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AEB9158" w14:textId="77777777" w:rsidR="005E5391" w:rsidRPr="005E5391" w:rsidRDefault="005E5391" w:rsidP="000B0DE5">
            <w:pPr>
              <w:rPr>
                <w:rFonts w:cstheme="minorHAnsi"/>
              </w:rPr>
            </w:pPr>
            <w:r w:rsidRPr="005E5391">
              <w:rPr>
                <w:rFonts w:cstheme="minorHAnsi"/>
              </w:rPr>
              <w:t>Inovare de produs</w:t>
            </w:r>
          </w:p>
        </w:tc>
        <w:tc>
          <w:tcPr>
            <w:tcW w:w="3259" w:type="pct"/>
          </w:tcPr>
          <w:p w14:paraId="7A33A81E" w14:textId="77777777" w:rsidR="005E5391" w:rsidRPr="005E5391" w:rsidRDefault="005E5391" w:rsidP="000B0DE5">
            <w:pPr>
              <w:jc w:val="both"/>
              <w:rPr>
                <w:rFonts w:cstheme="minorHAnsi"/>
              </w:rPr>
            </w:pPr>
            <w:r w:rsidRPr="005E5391">
              <w:rPr>
                <w:rFonts w:cstheme="minorHAnsi"/>
              </w:rPr>
              <w:t>Introducerea pe piață a unui bun sau serviciu nou sau îmbunătățit semnificativ în ceea ce privește capabilitățile, ușurința de utilizare, componentele sau subsistemele acestuia.</w:t>
            </w:r>
          </w:p>
        </w:tc>
      </w:tr>
      <w:tr w:rsidR="005E5391" w:rsidRPr="008B3784" w14:paraId="61815D33" w14:textId="77777777" w:rsidTr="00E03436">
        <w:tc>
          <w:tcPr>
            <w:tcW w:w="339" w:type="pct"/>
          </w:tcPr>
          <w:p w14:paraId="77EDD5FA"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A36DDA4" w14:textId="77777777" w:rsidR="005E5391" w:rsidRPr="005E5391" w:rsidRDefault="005E5391" w:rsidP="000B0DE5">
            <w:pPr>
              <w:rPr>
                <w:rFonts w:cstheme="minorHAnsi"/>
              </w:rPr>
            </w:pPr>
            <w:r w:rsidRPr="005E5391">
              <w:rPr>
                <w:rFonts w:cstheme="minorHAnsi"/>
              </w:rPr>
              <w:t>Inovare de proces</w:t>
            </w:r>
            <w:r w:rsidRPr="005E5391">
              <w:rPr>
                <w:rStyle w:val="Referinnotdesubsol"/>
                <w:rFonts w:cstheme="minorHAnsi"/>
              </w:rPr>
              <w:footnoteReference w:id="4"/>
            </w:r>
          </w:p>
        </w:tc>
        <w:tc>
          <w:tcPr>
            <w:tcW w:w="3259" w:type="pct"/>
          </w:tcPr>
          <w:p w14:paraId="25E1C64E" w14:textId="77777777" w:rsidR="005E5391" w:rsidRPr="005E5391" w:rsidRDefault="005E5391" w:rsidP="000B0DE5">
            <w:pPr>
              <w:jc w:val="both"/>
              <w:rPr>
                <w:rFonts w:cstheme="minorHAnsi"/>
              </w:rPr>
            </w:pPr>
            <w:r w:rsidRPr="005E5391">
              <w:rPr>
                <w:rFonts w:cstheme="minorHAnsi"/>
              </w:rPr>
              <w:t>punerea în aplicare a unei metode de producţie sau de implementare noi ori îmbunătăţite semnificativ, inclusiv modificări semnificative ale tehnicilor, echipamentelor sau software-ului, la nivelul întreprinderii (la nivelul grupului din sectorul industrial vizat din SEE), inclusiv, de exemplu, prin utilizarea unor tehnologii sau soluţii digitale noi sau inovatoare. Sunt excluse din această definiţie schimbările sau îmbunătăţirile minore, creșterea capacităţilor de producţie sau de prestare de servicii prin adăugarea de sisteme de fabricaţie sau logistice care sunt foarte asemănătoare cu cele utilizate deja, încetarea utilizării unui proces, simpla înlocuire sau majorare a capitalului, schimbări rezultate numai din modificarea preţurilor factorilor, personalizarea producţiei, localizarea, schimbările regulate, sezoniere și alte schimbări ciclice și comercializarea de produse noi sau îmbunătăţite semnificativ</w:t>
            </w:r>
          </w:p>
        </w:tc>
      </w:tr>
      <w:tr w:rsidR="005E5391" w:rsidRPr="005E5391" w14:paraId="194F1D0A" w14:textId="77777777" w:rsidTr="00E03436">
        <w:tc>
          <w:tcPr>
            <w:tcW w:w="339" w:type="pct"/>
          </w:tcPr>
          <w:p w14:paraId="3AE15694" w14:textId="77777777" w:rsidR="005E5391" w:rsidRPr="005E5391" w:rsidRDefault="005E5391" w:rsidP="005E5391">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71C33890" w14:textId="77777777" w:rsidR="005E5391" w:rsidRPr="005E5391" w:rsidRDefault="005E5391" w:rsidP="000B0DE5">
            <w:pPr>
              <w:rPr>
                <w:rFonts w:cstheme="minorHAnsi"/>
              </w:rPr>
            </w:pPr>
            <w:r w:rsidRPr="005E5391">
              <w:rPr>
                <w:rFonts w:cstheme="minorHAnsi"/>
              </w:rPr>
              <w:t xml:space="preserve">Organizație de cercetare </w:t>
            </w:r>
          </w:p>
        </w:tc>
        <w:tc>
          <w:tcPr>
            <w:tcW w:w="3259" w:type="pct"/>
          </w:tcPr>
          <w:p w14:paraId="695DF37B" w14:textId="77777777" w:rsidR="005E5391" w:rsidRPr="005E5391" w:rsidRDefault="005E5391" w:rsidP="000B0DE5">
            <w:pPr>
              <w:jc w:val="both"/>
              <w:rPr>
                <w:rFonts w:cstheme="minorHAnsi"/>
              </w:rPr>
            </w:pPr>
            <w:r w:rsidRPr="005E5391">
              <w:rPr>
                <w:rFonts w:cstheme="minorHAnsi"/>
              </w:rPr>
              <w:t>O entitate, precum universitate sau institut de cercetare, indiferent de statutul său legal (organizat conform legii publice sau private) sau de modul</w:t>
            </w:r>
          </w:p>
          <w:p w14:paraId="5452A999" w14:textId="77777777" w:rsidR="005E5391" w:rsidRPr="005E5391" w:rsidRDefault="005E5391" w:rsidP="000B0DE5">
            <w:pPr>
              <w:jc w:val="both"/>
              <w:rPr>
                <w:rFonts w:cstheme="minorHAnsi"/>
              </w:rPr>
            </w:pPr>
            <w:r w:rsidRPr="005E5391">
              <w:rPr>
                <w:rFonts w:cstheme="minorHAnsi"/>
              </w:rPr>
              <w:t>de finanţare, al cărei scop principal este de a desfășura activități de cercetare fundamentală, cercetare aplicativă şi dezvoltare tehnologică şi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w:t>
            </w:r>
          </w:p>
          <w:p w14:paraId="02412C5A" w14:textId="77777777" w:rsidR="005E5391" w:rsidRPr="005E5391" w:rsidRDefault="005E5391" w:rsidP="000B0DE5">
            <w:pPr>
              <w:jc w:val="both"/>
              <w:rPr>
                <w:rFonts w:cstheme="minorHAnsi"/>
              </w:rPr>
            </w:pPr>
            <w:r w:rsidRPr="005E5391">
              <w:rPr>
                <w:rFonts w:cstheme="minorHAnsi"/>
              </w:rPr>
              <w:t>capacitățile de cercetare ale unei astfel de entități sau la rezultatele cercetării, generate de aceasta.</w:t>
            </w:r>
          </w:p>
        </w:tc>
      </w:tr>
      <w:tr w:rsidR="008B3784" w:rsidRPr="005E5391" w14:paraId="49970FE0" w14:textId="77777777" w:rsidTr="00E03436">
        <w:tc>
          <w:tcPr>
            <w:tcW w:w="339" w:type="pct"/>
          </w:tcPr>
          <w:p w14:paraId="4AA79C52"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1B24CC7C" w14:textId="1F1ABB6E" w:rsidR="008B3784" w:rsidRPr="005E5391" w:rsidRDefault="008B3784" w:rsidP="008B3784">
            <w:pPr>
              <w:rPr>
                <w:rFonts w:cstheme="minorHAnsi"/>
              </w:rPr>
            </w:pPr>
            <w:r w:rsidRPr="008B3784">
              <w:rPr>
                <w:rFonts w:cstheme="minorHAnsi"/>
              </w:rPr>
              <w:t>Personal de cercetare-dezvoltare-inovare</w:t>
            </w:r>
            <w:r w:rsidR="00F6644D">
              <w:rPr>
                <w:rFonts w:cstheme="minorHAnsi"/>
              </w:rPr>
              <w:t xml:space="preserve"> (CDI)</w:t>
            </w:r>
          </w:p>
        </w:tc>
        <w:tc>
          <w:tcPr>
            <w:tcW w:w="3259" w:type="pct"/>
          </w:tcPr>
          <w:p w14:paraId="7157F194" w14:textId="77777777" w:rsidR="008B3784" w:rsidRPr="008B3784" w:rsidRDefault="008B3784" w:rsidP="008B3784">
            <w:pPr>
              <w:rPr>
                <w:rFonts w:cstheme="minorHAnsi"/>
              </w:rPr>
            </w:pPr>
            <w:r w:rsidRPr="008B3784">
              <w:rPr>
                <w:rFonts w:cstheme="minorHAnsi"/>
              </w:rPr>
              <w:t>Personalul de cercetare-dezvoltare-inovare cuprinde, conform Legii 183 din 10 iunie 2024 privind statutul personalului de cercetare, dezvoltare și inovare, următoarele categorii:</w:t>
            </w:r>
          </w:p>
          <w:p w14:paraId="55DBABE8" w14:textId="789D5323" w:rsidR="008B3784" w:rsidRPr="008B3784" w:rsidRDefault="008B3784" w:rsidP="008B3784">
            <w:pPr>
              <w:rPr>
                <w:rFonts w:cstheme="minorHAnsi"/>
              </w:rPr>
            </w:pPr>
            <w:r w:rsidRPr="008B3784">
              <w:rPr>
                <w:rFonts w:cstheme="minorHAnsi"/>
              </w:rPr>
              <w:t>•</w:t>
            </w:r>
            <w:r>
              <w:rPr>
                <w:rFonts w:cstheme="minorHAnsi"/>
              </w:rPr>
              <w:t xml:space="preserve"> </w:t>
            </w:r>
            <w:r w:rsidRPr="008B3784">
              <w:rPr>
                <w:rFonts w:cstheme="minorHAnsi"/>
              </w:rPr>
              <w:t>cercetători științifici: profesioniști implicați în conceperea sau crearea de noi cunoștințe științifice bazate pe concepte sau ipoteze originale, care desfășoară activități de cercetare și îmbunătățesc sau dezvoltă concepte, teorii, modele, tehnici, instrumente, software sau metode operaționale. Cercetătorii științifici identifică opțiuni pentru noi activități de cercetare și dezvoltare, pe care le planifică și le gestionează utilizând competențe și cunoștințe de nivel înalt dobândite prin educație și formare profesională sau prin experiența practică acumulată în urma desfășurării de activități de cercetare;</w:t>
            </w:r>
          </w:p>
          <w:p w14:paraId="675EC7E8" w14:textId="6E83C6A9" w:rsidR="008B3784" w:rsidRPr="008B3784" w:rsidRDefault="008B3784" w:rsidP="008B3784">
            <w:pPr>
              <w:rPr>
                <w:rFonts w:cstheme="minorHAnsi"/>
              </w:rPr>
            </w:pPr>
            <w:r w:rsidRPr="008B3784">
              <w:rPr>
                <w:rFonts w:cstheme="minorHAnsi"/>
              </w:rPr>
              <w:t>•</w:t>
            </w:r>
            <w:r>
              <w:rPr>
                <w:rFonts w:cstheme="minorHAnsi"/>
              </w:rPr>
              <w:t xml:space="preserve"> </w:t>
            </w:r>
            <w:r w:rsidRPr="008B3784">
              <w:rPr>
                <w:rFonts w:cstheme="minorHAnsi"/>
              </w:rPr>
              <w:t>cadre didactice universitare;</w:t>
            </w:r>
          </w:p>
          <w:p w14:paraId="3A280D50" w14:textId="71C6F3BC" w:rsidR="008B3784" w:rsidRPr="008B3784" w:rsidRDefault="008B3784" w:rsidP="008B3784">
            <w:pPr>
              <w:rPr>
                <w:rFonts w:cstheme="minorHAnsi"/>
              </w:rPr>
            </w:pPr>
            <w:r w:rsidRPr="008B3784">
              <w:rPr>
                <w:rFonts w:cstheme="minorHAnsi"/>
              </w:rPr>
              <w:t>•</w:t>
            </w:r>
            <w:r>
              <w:rPr>
                <w:rFonts w:cstheme="minorHAnsi"/>
              </w:rPr>
              <w:t xml:space="preserve"> </w:t>
            </w:r>
            <w:r w:rsidRPr="008B3784">
              <w:rPr>
                <w:rFonts w:cstheme="minorHAnsi"/>
              </w:rPr>
              <w:t>personalul instituțiilor cu atribuții în domeniul securității naționale ce desfășoară activități similare celor prevăzute la lit. a) în scopul asigurării securității naționale;</w:t>
            </w:r>
          </w:p>
          <w:p w14:paraId="6DC56A97" w14:textId="1A1BDD1C" w:rsidR="008B3784" w:rsidRPr="005E5391" w:rsidRDefault="008B3784" w:rsidP="008B3784">
            <w:pPr>
              <w:jc w:val="both"/>
              <w:rPr>
                <w:rFonts w:cstheme="minorHAnsi"/>
              </w:rPr>
            </w:pPr>
            <w:r w:rsidRPr="008B3784">
              <w:rPr>
                <w:rFonts w:cstheme="minorHAnsi"/>
              </w:rPr>
              <w:t>•</w:t>
            </w:r>
            <w:r>
              <w:rPr>
                <w:rFonts w:cstheme="minorHAnsi"/>
              </w:rPr>
              <w:t xml:space="preserve"> </w:t>
            </w:r>
            <w:r w:rsidRPr="008B3784">
              <w:rPr>
                <w:rFonts w:cstheme="minorHAnsi"/>
              </w:rPr>
              <w:t>personal suport pentru activitățile CDI, cu studii medii sau superioare.</w:t>
            </w:r>
          </w:p>
        </w:tc>
      </w:tr>
      <w:tr w:rsidR="008B3784" w:rsidRPr="008B3784" w14:paraId="5F7AC9DD" w14:textId="77777777" w:rsidTr="00E03436">
        <w:tc>
          <w:tcPr>
            <w:tcW w:w="339" w:type="pct"/>
          </w:tcPr>
          <w:p w14:paraId="3C9F7F98"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4DEEBA51" w14:textId="77777777" w:rsidR="008B3784" w:rsidRPr="005E5391" w:rsidRDefault="008B3784" w:rsidP="008B3784">
            <w:pPr>
              <w:rPr>
                <w:rFonts w:cstheme="minorHAnsi"/>
              </w:rPr>
            </w:pPr>
            <w:r w:rsidRPr="005E5391">
              <w:rPr>
                <w:rFonts w:cstheme="minorHAnsi"/>
              </w:rPr>
              <w:t>Platforma S3</w:t>
            </w:r>
          </w:p>
        </w:tc>
        <w:tc>
          <w:tcPr>
            <w:tcW w:w="3259" w:type="pct"/>
          </w:tcPr>
          <w:p w14:paraId="5A6E95EF" w14:textId="77777777" w:rsidR="008B3784" w:rsidRPr="005E5391" w:rsidRDefault="008B3784" w:rsidP="008B3784">
            <w:pPr>
              <w:jc w:val="both"/>
              <w:rPr>
                <w:rFonts w:cstheme="minorHAnsi"/>
              </w:rPr>
            </w:pPr>
            <w:r w:rsidRPr="005E5391">
              <w:rPr>
                <w:rFonts w:cstheme="minorHAnsi"/>
                <w:iCs/>
              </w:rPr>
              <w:t>Platforma tematică are scop dezvoltarea de noi lanțuri valorice europene în nișe cheie de specializare inteligentă (S3) și de a genera mai multa valoare adăugată pentru economia și societatea europeană. Platforma conectează ecosistemele regionale de inovare și oferă un mediu interactiv și participativ ca suport al implementării S3 prin cooperare transnațională/interregională.</w:t>
            </w:r>
          </w:p>
        </w:tc>
      </w:tr>
      <w:tr w:rsidR="008B3784" w:rsidRPr="008B3784" w14:paraId="01AB0825" w14:textId="77777777" w:rsidTr="00E03436">
        <w:tc>
          <w:tcPr>
            <w:tcW w:w="339" w:type="pct"/>
          </w:tcPr>
          <w:p w14:paraId="049F0D8A"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4D709F9" w14:textId="77777777" w:rsidR="008B3784" w:rsidRPr="005E5391" w:rsidRDefault="008B3784" w:rsidP="008B3784">
            <w:pPr>
              <w:rPr>
                <w:rFonts w:cstheme="minorHAnsi"/>
              </w:rPr>
            </w:pPr>
            <w:r w:rsidRPr="005E5391">
              <w:rPr>
                <w:rFonts w:cstheme="minorHAnsi"/>
              </w:rPr>
              <w:t>Proiect de cercetare-dezvoltare (CD)</w:t>
            </w:r>
          </w:p>
        </w:tc>
        <w:tc>
          <w:tcPr>
            <w:tcW w:w="3259" w:type="pct"/>
          </w:tcPr>
          <w:p w14:paraId="28A6810E" w14:textId="77777777" w:rsidR="008B3784" w:rsidRPr="005E5391" w:rsidRDefault="008B3784" w:rsidP="008B3784">
            <w:pPr>
              <w:jc w:val="both"/>
              <w:rPr>
                <w:rFonts w:cstheme="minorHAnsi"/>
              </w:rPr>
            </w:pPr>
            <w:r w:rsidRPr="005E5391">
              <w:rPr>
                <w:rFonts w:cstheme="minorHAnsi"/>
              </w:rPr>
              <w:t xml:space="preserve">O operațiune care include activități care acoperă în același timp una sau mai multe categorii de cercetare și dezvoltare și care este destinată să îndeplinească o sarcină indivizibilă de natură economică, științifică sau tehnică exactă, cu obiective predefinite în mod clar. </w:t>
            </w:r>
          </w:p>
          <w:p w14:paraId="16B1C9A2" w14:textId="77777777" w:rsidR="008B3784" w:rsidRPr="005E5391" w:rsidRDefault="008B3784" w:rsidP="008B3784">
            <w:pPr>
              <w:jc w:val="both"/>
              <w:rPr>
                <w:rFonts w:cstheme="minorHAnsi"/>
              </w:rPr>
            </w:pPr>
            <w:r w:rsidRPr="005E5391">
              <w:rPr>
                <w:rFonts w:cstheme="minorHAnsi"/>
              </w:rPr>
              <w:t xml:space="preserve">Un proiect de CD poate fi alcătuit din mai multe pachete de lucru, activități sau servicii și include obiective clare, activitățile care urmează să fie desfășurate în vederea realizării obiectivelor respective (inclusiv costurile pe care le presupun acestea) și prestații concrete pentru a identifica rezultatele activităților respective și a le compara cu obiectivele relevante. </w:t>
            </w:r>
          </w:p>
          <w:p w14:paraId="3D9113A2" w14:textId="77777777" w:rsidR="008B3784" w:rsidRPr="005E5391" w:rsidRDefault="008B3784" w:rsidP="008B3784">
            <w:pPr>
              <w:jc w:val="both"/>
              <w:rPr>
                <w:rFonts w:cstheme="minorHAnsi"/>
              </w:rPr>
            </w:pPr>
            <w:r w:rsidRPr="005E5391">
              <w:rPr>
                <w:rFonts w:cstheme="minorHAnsi"/>
              </w:rPr>
              <w:t>Atunci când două sau mai multe proiecte de CD nu sunt separabile în mod clar unele de altele și, în special, în cazul în care nu prezintă probabilități independente de succes tehnologic, acestea sunt considerate un singur proiect.</w:t>
            </w:r>
          </w:p>
        </w:tc>
      </w:tr>
      <w:tr w:rsidR="008B3784" w:rsidRPr="008B3784" w14:paraId="5EE551B6" w14:textId="77777777" w:rsidTr="00E03436">
        <w:tc>
          <w:tcPr>
            <w:tcW w:w="339" w:type="pct"/>
          </w:tcPr>
          <w:p w14:paraId="19642233"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3180BF32" w14:textId="77777777" w:rsidR="008B3784" w:rsidRPr="005E5391" w:rsidRDefault="008B3784" w:rsidP="008B3784">
            <w:pPr>
              <w:rPr>
                <w:rFonts w:cstheme="minorHAnsi"/>
              </w:rPr>
            </w:pPr>
            <w:r w:rsidRPr="005E5391">
              <w:rPr>
                <w:rFonts w:cstheme="minorHAnsi"/>
              </w:rPr>
              <w:t>Specializarea inteligentă</w:t>
            </w:r>
          </w:p>
        </w:tc>
        <w:tc>
          <w:tcPr>
            <w:tcW w:w="3259" w:type="pct"/>
          </w:tcPr>
          <w:p w14:paraId="3333A247" w14:textId="77777777" w:rsidR="008B3784" w:rsidRPr="005E5391" w:rsidRDefault="008B3784" w:rsidP="008B3784">
            <w:pPr>
              <w:jc w:val="both"/>
              <w:rPr>
                <w:rFonts w:cstheme="minorHAnsi"/>
              </w:rPr>
            </w:pPr>
            <w:r w:rsidRPr="005E5391">
              <w:rPr>
                <w:rFonts w:cstheme="minorHAnsi"/>
              </w:rPr>
              <w:t>Procesul de transformare economică bazat pe identificarea domeniilor în care o regiune poate beneficia din specializarea inovării și cercetării creându-și noi avantaje competitive.</w:t>
            </w:r>
          </w:p>
        </w:tc>
      </w:tr>
      <w:tr w:rsidR="008B3784" w:rsidRPr="008B3784" w14:paraId="497091CE" w14:textId="77777777" w:rsidTr="00E03436">
        <w:tc>
          <w:tcPr>
            <w:tcW w:w="339" w:type="pct"/>
          </w:tcPr>
          <w:p w14:paraId="1E7C9DBE"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2DBC47B5" w14:textId="0B237653" w:rsidR="008B3784" w:rsidRPr="005E5391" w:rsidRDefault="008B3784" w:rsidP="008B3784">
            <w:pPr>
              <w:rPr>
                <w:rFonts w:cstheme="minorHAnsi"/>
              </w:rPr>
            </w:pPr>
            <w:r w:rsidRPr="005E5391">
              <w:rPr>
                <w:rFonts w:cstheme="minorHAnsi"/>
              </w:rPr>
              <w:t xml:space="preserve">Strategia de </w:t>
            </w:r>
            <w:r>
              <w:rPr>
                <w:rFonts w:cstheme="minorHAnsi"/>
              </w:rPr>
              <w:t xml:space="preserve">Cercetare și Inovare pentru </w:t>
            </w:r>
            <w:r w:rsidRPr="005E5391">
              <w:rPr>
                <w:rFonts w:cstheme="minorHAnsi"/>
              </w:rPr>
              <w:t>Specializare inteligentă a regiunii Nord-Est (RIS3 Nord-Est)</w:t>
            </w:r>
          </w:p>
        </w:tc>
        <w:tc>
          <w:tcPr>
            <w:tcW w:w="3259" w:type="pct"/>
          </w:tcPr>
          <w:p w14:paraId="2B17C1BF" w14:textId="77777777" w:rsidR="008B3784" w:rsidRPr="005E5391" w:rsidRDefault="008B3784" w:rsidP="008B3784">
            <w:pPr>
              <w:jc w:val="both"/>
              <w:rPr>
                <w:rFonts w:cstheme="minorHAnsi"/>
              </w:rPr>
            </w:pPr>
            <w:r w:rsidRPr="005E5391">
              <w:rPr>
                <w:rFonts w:cstheme="minorHAnsi"/>
              </w:rPr>
              <w:t>Instrumentul strategic care asigură implementarea conceptelor inovative în economia regională printr-o abordare de jos în sus, ce înseamnă includerea în proces a reprezentanților mediului academic, universitar și de cercetare, mediului de afaceri, societății civile precum și autorități publice (Cvadruplu Helix).</w:t>
            </w:r>
          </w:p>
        </w:tc>
      </w:tr>
      <w:tr w:rsidR="008B3784" w:rsidRPr="008B3784" w14:paraId="2EE46719" w14:textId="77777777" w:rsidTr="00E03436">
        <w:tc>
          <w:tcPr>
            <w:tcW w:w="339" w:type="pct"/>
          </w:tcPr>
          <w:p w14:paraId="7E96685E"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6B2EEADD" w14:textId="77777777" w:rsidR="008B3784" w:rsidRPr="005E5391" w:rsidRDefault="008B3784" w:rsidP="008B3784">
            <w:pPr>
              <w:rPr>
                <w:rFonts w:cstheme="minorHAnsi"/>
              </w:rPr>
            </w:pPr>
            <w:r w:rsidRPr="005E5391">
              <w:rPr>
                <w:rFonts w:cstheme="minorHAnsi"/>
              </w:rPr>
              <w:t>Studiu de fezabilitate (în cadrul activității de cercetare-dezvoltare)</w:t>
            </w:r>
          </w:p>
        </w:tc>
        <w:tc>
          <w:tcPr>
            <w:tcW w:w="3259" w:type="pct"/>
          </w:tcPr>
          <w:p w14:paraId="01F4FEEC" w14:textId="77777777" w:rsidR="008B3784" w:rsidRPr="005E5391" w:rsidRDefault="008B3784" w:rsidP="008B3784">
            <w:pPr>
              <w:jc w:val="both"/>
              <w:rPr>
                <w:rFonts w:cstheme="minorHAnsi"/>
              </w:rPr>
            </w:pPr>
            <w:r w:rsidRPr="005E5391">
              <w:rPr>
                <w:rFonts w:cstheme="minorHAnsi"/>
              </w:rPr>
              <w:t>Evaluarea și analiza potențialului unui proiect care urmărește să vină în sprijinul procesului decizional prin faptul că evidențiază în mod obiectiv și rațional punctele forte și punctele slabe ale acestuia, oportunitățile și amenințările și prin faptul că identifică resursele necesare pentru punerea sa în practică și, în ultimă instanță, perspectivele de succes ale acestuia;</w:t>
            </w:r>
          </w:p>
        </w:tc>
      </w:tr>
      <w:tr w:rsidR="008B3784" w:rsidRPr="008B3784" w14:paraId="15399273" w14:textId="77777777" w:rsidTr="00E03436">
        <w:tc>
          <w:tcPr>
            <w:tcW w:w="339" w:type="pct"/>
          </w:tcPr>
          <w:p w14:paraId="0B53E8E1" w14:textId="77777777" w:rsidR="008B3784" w:rsidRPr="005E5391" w:rsidRDefault="008B3784" w:rsidP="008B3784">
            <w:pPr>
              <w:pStyle w:val="Listparagraf"/>
              <w:numPr>
                <w:ilvl w:val="0"/>
                <w:numId w:val="3"/>
              </w:numPr>
              <w:tabs>
                <w:tab w:val="left" w:pos="309"/>
              </w:tabs>
              <w:spacing w:line="240" w:lineRule="auto"/>
              <w:ind w:left="-57" w:right="-79" w:firstLine="0"/>
              <w:contextualSpacing w:val="0"/>
              <w:jc w:val="center"/>
              <w:rPr>
                <w:rFonts w:asciiTheme="minorHAnsi" w:hAnsiTheme="minorHAnsi" w:cstheme="minorHAnsi"/>
              </w:rPr>
            </w:pPr>
          </w:p>
        </w:tc>
        <w:tc>
          <w:tcPr>
            <w:tcW w:w="1402" w:type="pct"/>
          </w:tcPr>
          <w:p w14:paraId="2D19AC19" w14:textId="77777777" w:rsidR="008B3784" w:rsidRPr="005E5391" w:rsidRDefault="008B3784" w:rsidP="008B3784">
            <w:pPr>
              <w:rPr>
                <w:rFonts w:cstheme="minorHAnsi"/>
              </w:rPr>
            </w:pPr>
            <w:r w:rsidRPr="005E5391">
              <w:rPr>
                <w:rFonts w:cstheme="minorHAnsi"/>
              </w:rPr>
              <w:t>Transfer de cunoștințe</w:t>
            </w:r>
          </w:p>
        </w:tc>
        <w:tc>
          <w:tcPr>
            <w:tcW w:w="3259" w:type="pct"/>
          </w:tcPr>
          <w:p w14:paraId="4CEC02F0" w14:textId="77777777" w:rsidR="008B3784" w:rsidRPr="005E5391" w:rsidRDefault="008B3784" w:rsidP="008B3784">
            <w:pPr>
              <w:jc w:val="both"/>
              <w:rPr>
                <w:rFonts w:cstheme="minorHAnsi"/>
              </w:rPr>
            </w:pPr>
            <w:r w:rsidRPr="005E5391">
              <w:rPr>
                <w:rFonts w:cstheme="minorHAnsi"/>
              </w:rPr>
              <w:t>Orice proces desfășurat în scopul de a obține, de a colecta și de a face schimb de cunoștințe explicite și implicite, inclusiv de abilități și de competențe, în cadrul unor activități economice și neeconomice, cum ar fi colaborări în materie de cercetare, servicii de consultanță, acordare de licențe, creare de produse derivate, publicare și mobilitate a cercetătorilor și a altor categorii de personal implicate în activitățile respective. Pe lângă cunoștințele științifice și tehnologice, transferul de cunoștințe include, de asemenea, alte tipuri de cunoștințe, precum cunoștințele privind utilizarea standardelor și a reglementărilor din care fac parte acestea, cunoștințele privind condițiile mediilor de operare din viața reală și metodele de inovare organizațională, precum și gestionarea cunoștințelor legate de identificarea, dobândirea, protejarea, apărarea și exploatarea activelor necorporale.</w:t>
            </w:r>
          </w:p>
        </w:tc>
      </w:tr>
    </w:tbl>
    <w:p w14:paraId="5CB3F069" w14:textId="77777777" w:rsidR="005E5391" w:rsidRPr="005E5391" w:rsidRDefault="005E5391" w:rsidP="005E5391">
      <w:pPr>
        <w:rPr>
          <w:rFonts w:cstheme="minorHAnsi"/>
          <w:lang w:val="ro-RO"/>
        </w:rPr>
      </w:pPr>
    </w:p>
    <w:p w14:paraId="7E1AD38B" w14:textId="77777777" w:rsidR="005E5391" w:rsidRPr="005E5391" w:rsidRDefault="005E5391" w:rsidP="005E5391">
      <w:pPr>
        <w:jc w:val="center"/>
        <w:rPr>
          <w:rFonts w:cstheme="minorHAnsi"/>
          <w:sz w:val="28"/>
          <w:szCs w:val="28"/>
          <w:lang w:val="ro-RO"/>
        </w:rPr>
      </w:pPr>
    </w:p>
    <w:sectPr w:rsidR="005E5391" w:rsidRPr="005E5391" w:rsidSect="00AE7984">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46F45" w14:textId="77777777" w:rsidR="00AE7984" w:rsidRDefault="00AE7984" w:rsidP="00C2191D">
      <w:pPr>
        <w:spacing w:after="0" w:line="240" w:lineRule="auto"/>
      </w:pPr>
      <w:r>
        <w:separator/>
      </w:r>
    </w:p>
  </w:endnote>
  <w:endnote w:type="continuationSeparator" w:id="0">
    <w:p w14:paraId="14C73675" w14:textId="77777777" w:rsidR="00AE7984" w:rsidRDefault="00AE7984"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DDCB4" w14:textId="77777777" w:rsidR="00AE7984" w:rsidRDefault="00AE7984" w:rsidP="00C2191D">
      <w:pPr>
        <w:spacing w:after="0" w:line="240" w:lineRule="auto"/>
      </w:pPr>
      <w:r>
        <w:separator/>
      </w:r>
    </w:p>
  </w:footnote>
  <w:footnote w:type="continuationSeparator" w:id="0">
    <w:p w14:paraId="5ADAF53B" w14:textId="77777777" w:rsidR="00AE7984" w:rsidRDefault="00AE7984" w:rsidP="00C2191D">
      <w:pPr>
        <w:spacing w:after="0" w:line="240" w:lineRule="auto"/>
      </w:pPr>
      <w:r>
        <w:continuationSeparator/>
      </w:r>
    </w:p>
  </w:footnote>
  <w:footnote w:id="1">
    <w:p w14:paraId="37D1EA05" w14:textId="77777777" w:rsidR="005E5391" w:rsidRPr="008D13C1" w:rsidRDefault="005E5391" w:rsidP="005E5391">
      <w:pPr>
        <w:pStyle w:val="Textnotdesubsol"/>
        <w:rPr>
          <w:sz w:val="18"/>
          <w:szCs w:val="18"/>
        </w:rPr>
      </w:pPr>
      <w:r w:rsidRPr="008D13C1">
        <w:rPr>
          <w:rStyle w:val="Referinnotdesubsol"/>
          <w:sz w:val="18"/>
          <w:szCs w:val="18"/>
        </w:rPr>
        <w:footnoteRef/>
      </w:r>
      <w:r w:rsidRPr="008D13C1">
        <w:rPr>
          <w:sz w:val="18"/>
          <w:szCs w:val="18"/>
        </w:rPr>
        <w:t xml:space="preserve"> A se vedea hotărârea Curții de Justiție din 16 iunie 1987, Comisia/Italia, C-118/85, ECLI:EU:C:1987:283, punctul 7; hotărârea Curții de Justiție a Uniunii Europene din 18 iunie 1998, Comisia/Italia, C-35/96. ECLI:EU:C:1998:303, punctul 36; hotărârea Curții de Justiție din 19 februarie 2002, Wouters, C-309/99, ECLI:EU:C:2002:98, punctul 46</w:t>
      </w:r>
    </w:p>
  </w:footnote>
  <w:footnote w:id="2">
    <w:p w14:paraId="0B0B8E19" w14:textId="77777777" w:rsidR="005E5391" w:rsidRPr="008D13C1" w:rsidRDefault="005E5391" w:rsidP="005E5391">
      <w:pPr>
        <w:pStyle w:val="Textnotdesubsol"/>
        <w:rPr>
          <w:sz w:val="18"/>
          <w:szCs w:val="18"/>
        </w:rPr>
      </w:pPr>
      <w:r w:rsidRPr="008D13C1">
        <w:rPr>
          <w:rStyle w:val="Referinnotdesubsol"/>
          <w:sz w:val="18"/>
          <w:szCs w:val="18"/>
        </w:rPr>
        <w:footnoteRef/>
      </w:r>
      <w:r w:rsidRPr="008D13C1">
        <w:rPr>
          <w:sz w:val="18"/>
          <w:szCs w:val="18"/>
        </w:rPr>
        <w:t xml:space="preserve"> În conformitate cu prevederile Regulamentului 651/2014</w:t>
      </w:r>
    </w:p>
  </w:footnote>
  <w:footnote w:id="3">
    <w:p w14:paraId="5557051C" w14:textId="77777777" w:rsidR="005E5391" w:rsidRPr="008D13C1" w:rsidRDefault="005E5391" w:rsidP="005E5391">
      <w:pPr>
        <w:pStyle w:val="Textnotdesubsol"/>
        <w:rPr>
          <w:sz w:val="16"/>
          <w:szCs w:val="16"/>
        </w:rPr>
      </w:pPr>
      <w:r w:rsidRPr="008D13C1">
        <w:rPr>
          <w:rStyle w:val="Referinnotdesubsol"/>
          <w:sz w:val="16"/>
          <w:szCs w:val="16"/>
        </w:rPr>
        <w:footnoteRef/>
      </w:r>
      <w:r w:rsidRPr="008D13C1">
        <w:rPr>
          <w:sz w:val="16"/>
          <w:szCs w:val="16"/>
        </w:rPr>
        <w:t xml:space="preserve"> </w:t>
      </w:r>
      <w:bookmarkStart w:id="1" w:name="_Hlk136247568"/>
      <w:r w:rsidRPr="008D13C1">
        <w:rPr>
          <w:sz w:val="16"/>
          <w:szCs w:val="16"/>
        </w:rPr>
        <w:t>A se vedea articolul 2 litera (a) din Regulamentul (CE) nr. 723/2009 al Consiliului din 25 iunie 2009 privind cadrul juridic comunitar aplicabil unui consorțiu pentru o infrastructură europeană de cercetare (ERIC), JO L 206, 8.8.2009, p. 1.</w:t>
      </w:r>
      <w:bookmarkEnd w:id="1"/>
    </w:p>
  </w:footnote>
  <w:footnote w:id="4">
    <w:p w14:paraId="066BED93" w14:textId="77777777" w:rsidR="005E5391" w:rsidRPr="00800A48" w:rsidRDefault="005E5391" w:rsidP="005E5391">
      <w:pPr>
        <w:pStyle w:val="Textnotdesubsol"/>
        <w:rPr>
          <w:sz w:val="18"/>
          <w:szCs w:val="18"/>
        </w:rPr>
      </w:pPr>
      <w:r w:rsidRPr="008D13C1">
        <w:rPr>
          <w:rStyle w:val="Referinnotdesubsol"/>
          <w:sz w:val="16"/>
          <w:szCs w:val="16"/>
        </w:rPr>
        <w:footnoteRef/>
      </w:r>
      <w:r w:rsidRPr="008D13C1">
        <w:rPr>
          <w:sz w:val="16"/>
          <w:szCs w:val="16"/>
        </w:rPr>
        <w:t xml:space="preserve"> Inovarea de proces poate include, de asemenea, inovarea socială, cu condiția ca activitățile de inovare socială să se încadreze în domeniul de aplicare al definiției.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AD7C7C"/>
    <w:multiLevelType w:val="hybridMultilevel"/>
    <w:tmpl w:val="D626FF74"/>
    <w:lvl w:ilvl="0" w:tplc="0418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15:restartNumberingAfterBreak="0">
    <w:nsid w:val="3E0A5708"/>
    <w:multiLevelType w:val="hybridMultilevel"/>
    <w:tmpl w:val="20B074C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E6F1450"/>
    <w:multiLevelType w:val="multilevel"/>
    <w:tmpl w:val="69345778"/>
    <w:lvl w:ilvl="0">
      <w:start w:val="1"/>
      <w:numFmt w:val="decimal"/>
      <w:pStyle w:val="Titlu1"/>
      <w:lvlText w:val="%1."/>
      <w:lvlJc w:val="left"/>
      <w:pPr>
        <w:tabs>
          <w:tab w:val="num" w:pos="360"/>
        </w:tabs>
        <w:ind w:left="360" w:hanging="360"/>
      </w:pPr>
      <w:rPr>
        <w:rFonts w:hint="default"/>
      </w:rPr>
    </w:lvl>
    <w:lvl w:ilvl="1">
      <w:start w:val="1"/>
      <w:numFmt w:val="decimal"/>
      <w:pStyle w:val="Titlu2"/>
      <w:lvlText w:val="%1.%2."/>
      <w:lvlJc w:val="left"/>
      <w:pPr>
        <w:tabs>
          <w:tab w:val="num" w:pos="1474"/>
        </w:tabs>
        <w:ind w:left="1474" w:hanging="1114"/>
      </w:pPr>
      <w:rPr>
        <w:rFonts w:hint="default"/>
        <w:b/>
        <w:bCs/>
      </w:rPr>
    </w:lvl>
    <w:lvl w:ilvl="2">
      <w:start w:val="1"/>
      <w:numFmt w:val="decimal"/>
      <w:lvlText w:val="%1.%2.%3."/>
      <w:lvlJc w:val="left"/>
      <w:pPr>
        <w:tabs>
          <w:tab w:val="num" w:pos="1440"/>
        </w:tabs>
        <w:ind w:left="1224" w:hanging="504"/>
      </w:pPr>
      <w:rPr>
        <w:rFonts w:hint="default"/>
      </w:rPr>
    </w:lvl>
    <w:lvl w:ilvl="3">
      <w:start w:val="1"/>
      <w:numFmt w:val="upperLetter"/>
      <w:pStyle w:val="Titlu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143544051">
    <w:abstractNumId w:val="2"/>
  </w:num>
  <w:num w:numId="2" w16cid:durableId="830635414">
    <w:abstractNumId w:val="0"/>
  </w:num>
  <w:num w:numId="3" w16cid:durableId="11990480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91831"/>
    <w:rsid w:val="001079C8"/>
    <w:rsid w:val="00236A4B"/>
    <w:rsid w:val="00282EC1"/>
    <w:rsid w:val="002B5C79"/>
    <w:rsid w:val="002E3692"/>
    <w:rsid w:val="0043337B"/>
    <w:rsid w:val="0049487A"/>
    <w:rsid w:val="005E5391"/>
    <w:rsid w:val="006057D6"/>
    <w:rsid w:val="006E71CD"/>
    <w:rsid w:val="008B3784"/>
    <w:rsid w:val="0091603A"/>
    <w:rsid w:val="00A16EF7"/>
    <w:rsid w:val="00A17427"/>
    <w:rsid w:val="00A46815"/>
    <w:rsid w:val="00A729D8"/>
    <w:rsid w:val="00AE7984"/>
    <w:rsid w:val="00B862CE"/>
    <w:rsid w:val="00B955B1"/>
    <w:rsid w:val="00C2191D"/>
    <w:rsid w:val="00C54534"/>
    <w:rsid w:val="00D82383"/>
    <w:rsid w:val="00DE246A"/>
    <w:rsid w:val="00E03436"/>
    <w:rsid w:val="00E70BFF"/>
    <w:rsid w:val="00F549E7"/>
    <w:rsid w:val="00F66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qFormat/>
    <w:rsid w:val="005E5391"/>
    <w:pPr>
      <w:keepNext/>
      <w:numPr>
        <w:numId w:val="1"/>
      </w:numPr>
      <w:spacing w:before="240" w:after="60" w:line="240" w:lineRule="auto"/>
      <w:outlineLvl w:val="0"/>
    </w:pPr>
    <w:rPr>
      <w:rFonts w:ascii="Arial" w:eastAsia="Times New Roman" w:hAnsi="Arial" w:cs="Arial"/>
      <w:b/>
      <w:bCs/>
      <w:kern w:val="32"/>
      <w:sz w:val="32"/>
      <w:szCs w:val="32"/>
      <w:lang w:val="ro-RO"/>
    </w:rPr>
  </w:style>
  <w:style w:type="paragraph" w:styleId="Titlu2">
    <w:name w:val="heading 2"/>
    <w:basedOn w:val="Normal"/>
    <w:next w:val="Normal"/>
    <w:link w:val="Titlu2Caracter"/>
    <w:qFormat/>
    <w:rsid w:val="005E5391"/>
    <w:pPr>
      <w:keepNext/>
      <w:numPr>
        <w:ilvl w:val="1"/>
        <w:numId w:val="1"/>
      </w:numPr>
      <w:spacing w:before="240" w:after="60" w:line="240" w:lineRule="auto"/>
      <w:outlineLvl w:val="1"/>
    </w:pPr>
    <w:rPr>
      <w:rFonts w:ascii="Arial" w:eastAsia="Times New Roman" w:hAnsi="Arial" w:cs="Arial"/>
      <w:sz w:val="28"/>
      <w:szCs w:val="28"/>
      <w:lang w:val="ro-RO"/>
    </w:rPr>
  </w:style>
  <w:style w:type="paragraph" w:styleId="Titlu3">
    <w:name w:val="heading 3"/>
    <w:basedOn w:val="Normal"/>
    <w:next w:val="Normal"/>
    <w:link w:val="Titlu3Caracter"/>
    <w:qFormat/>
    <w:rsid w:val="005E5391"/>
    <w:pPr>
      <w:keepNext/>
      <w:numPr>
        <w:ilvl w:val="3"/>
        <w:numId w:val="1"/>
      </w:numPr>
      <w:spacing w:before="240" w:after="60" w:line="240" w:lineRule="auto"/>
      <w:outlineLvl w:val="2"/>
    </w:pPr>
    <w:rPr>
      <w:rFonts w:ascii="Arial" w:eastAsia="Times New Roman" w:hAnsi="Arial" w:cs="Arial"/>
      <w:b/>
      <w:bCs/>
      <w:sz w:val="20"/>
      <w:szCs w:val="26"/>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character" w:customStyle="1" w:styleId="Titlu1Caracter">
    <w:name w:val="Titlu 1 Caracter"/>
    <w:basedOn w:val="Fontdeparagrafimplicit"/>
    <w:link w:val="Titlu1"/>
    <w:rsid w:val="005E5391"/>
    <w:rPr>
      <w:rFonts w:ascii="Arial" w:eastAsia="Times New Roman" w:hAnsi="Arial" w:cs="Arial"/>
      <w:b/>
      <w:bCs/>
      <w:kern w:val="32"/>
      <w:sz w:val="32"/>
      <w:szCs w:val="32"/>
      <w:lang w:val="ro-RO"/>
    </w:rPr>
  </w:style>
  <w:style w:type="character" w:customStyle="1" w:styleId="Titlu2Caracter">
    <w:name w:val="Titlu 2 Caracter"/>
    <w:basedOn w:val="Fontdeparagrafimplicit"/>
    <w:link w:val="Titlu2"/>
    <w:rsid w:val="005E5391"/>
    <w:rPr>
      <w:rFonts w:ascii="Arial" w:eastAsia="Times New Roman" w:hAnsi="Arial" w:cs="Arial"/>
      <w:sz w:val="28"/>
      <w:szCs w:val="28"/>
      <w:lang w:val="ro-RO"/>
    </w:rPr>
  </w:style>
  <w:style w:type="character" w:customStyle="1" w:styleId="Titlu3Caracter">
    <w:name w:val="Titlu 3 Caracter"/>
    <w:basedOn w:val="Fontdeparagrafimplicit"/>
    <w:link w:val="Titlu3"/>
    <w:rsid w:val="005E5391"/>
    <w:rPr>
      <w:rFonts w:ascii="Arial" w:eastAsia="Times New Roman" w:hAnsi="Arial" w:cs="Arial"/>
      <w:b/>
      <w:bCs/>
      <w:sz w:val="20"/>
      <w:szCs w:val="26"/>
      <w:lang w:val="ro-RO"/>
    </w:rPr>
  </w:style>
  <w:style w:type="paragraph" w:styleId="Listparagraf">
    <w:name w:val="List Paragraph"/>
    <w:aliases w:val="Akapit z listą BS,Outlines a.b.c.,List_Paragraph,Multilevel para_II,Akapit z lista BS,List Paragraph compact,Normal bullet 2,Paragraphe de liste 2,Reference list,Bullet list,Numbered List,List Paragraph1,1st level - Bullet List Paragraph"/>
    <w:basedOn w:val="Normal"/>
    <w:link w:val="ListparagrafCaracter"/>
    <w:uiPriority w:val="34"/>
    <w:qFormat/>
    <w:rsid w:val="005E5391"/>
    <w:pPr>
      <w:spacing w:after="0" w:line="276" w:lineRule="auto"/>
      <w:ind w:left="720"/>
      <w:contextualSpacing/>
    </w:pPr>
    <w:rPr>
      <w:rFonts w:ascii="Times New Roman" w:eastAsia="Calibri" w:hAnsi="Times New Roman" w:cs="Times New Roman"/>
      <w:sz w:val="20"/>
      <w:szCs w:val="20"/>
      <w:lang w:val="ro-RO" w:eastAsia="ro-RO"/>
    </w:rPr>
  </w:style>
  <w:style w:type="character" w:customStyle="1" w:styleId="ListparagrafCaracter">
    <w:name w:val="Listă paragraf Caracter"/>
    <w:aliases w:val="Akapit z listą BS Caracter,Outlines a.b.c. Caracter,List_Paragraph Caracter,Multilevel para_II Caracter,Akapit z lista BS Caracter,List Paragraph compact Caracter,Normal bullet 2 Caracter,Paragraphe de liste 2 Caracter"/>
    <w:link w:val="Listparagraf"/>
    <w:uiPriority w:val="34"/>
    <w:qFormat/>
    <w:locked/>
    <w:rsid w:val="005E5391"/>
    <w:rPr>
      <w:rFonts w:ascii="Times New Roman" w:eastAsia="Calibri" w:hAnsi="Times New Roman" w:cs="Times New Roman"/>
      <w:sz w:val="20"/>
      <w:szCs w:val="20"/>
      <w:lang w:val="ro-RO" w:eastAsia="ro-RO"/>
    </w:rPr>
  </w:style>
  <w:style w:type="paragraph" w:customStyle="1" w:styleId="eval">
    <w:name w:val="eval"/>
    <w:basedOn w:val="Titlu3"/>
    <w:rsid w:val="005E5391"/>
    <w:pPr>
      <w:numPr>
        <w:ilvl w:val="4"/>
      </w:numPr>
      <w:tabs>
        <w:tab w:val="clear" w:pos="2232"/>
        <w:tab w:val="num" w:pos="3600"/>
      </w:tabs>
      <w:ind w:left="3600" w:hanging="360"/>
    </w:pPr>
  </w:style>
  <w:style w:type="table" w:styleId="Tabelgril">
    <w:name w:val="Table Grid"/>
    <w:basedOn w:val="TabelNormal"/>
    <w:uiPriority w:val="39"/>
    <w:rsid w:val="005E539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TextnotdesubsolCaracter"/>
    <w:unhideWhenUsed/>
    <w:qFormat/>
    <w:rsid w:val="005E5391"/>
    <w:pPr>
      <w:spacing w:after="0" w:line="240" w:lineRule="auto"/>
    </w:pPr>
    <w:rPr>
      <w:sz w:val="20"/>
      <w:szCs w:val="20"/>
      <w:lang w:val="ro-RO"/>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qFormat/>
    <w:rsid w:val="005E5391"/>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5E539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5E5391"/>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2301</Words>
  <Characters>14803</Characters>
  <Application>Microsoft Office Word</Application>
  <DocSecurity>0</DocSecurity>
  <Lines>123</Lines>
  <Paragraphs>34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6</cp:revision>
  <dcterms:created xsi:type="dcterms:W3CDTF">2024-01-11T14:48:00Z</dcterms:created>
  <dcterms:modified xsi:type="dcterms:W3CDTF">2024-08-29T09:09:00Z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