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A552E2" w:rsidRDefault="00A552E2">
      <w:pPr>
        <w:ind w:left="0" w:hanging="2"/>
        <w:jc w:val="both"/>
        <w:rPr>
          <w:rFonts w:ascii="Montserrat" w:eastAsia="Montserrat" w:hAnsi="Montserrat" w:cs="Montserrat"/>
          <w:sz w:val="22"/>
          <w:szCs w:val="22"/>
        </w:rPr>
      </w:pPr>
    </w:p>
    <w:p w14:paraId="00000002" w14:textId="77777777" w:rsidR="00A552E2" w:rsidRDefault="001D1E2D">
      <w:pPr>
        <w:ind w:left="0" w:hanging="2"/>
        <w:jc w:val="both"/>
        <w:rPr>
          <w:rFonts w:ascii="Montserrat" w:eastAsia="Montserrat" w:hAnsi="Montserrat" w:cs="Montserrat"/>
        </w:rPr>
      </w:pPr>
      <w:r>
        <w:rPr>
          <w:rFonts w:ascii="Montserrat" w:eastAsia="Montserrat" w:hAnsi="Montserrat" w:cs="Montserrat"/>
        </w:rPr>
        <w:t xml:space="preserve">Apel de proiecte nr. PR/NE/2024/P1/RSO1.1/1/4- </w:t>
      </w:r>
      <w:proofErr w:type="spellStart"/>
      <w:r>
        <w:rPr>
          <w:rFonts w:ascii="Montserrat" w:eastAsia="Montserrat" w:hAnsi="Montserrat" w:cs="Montserrat"/>
        </w:rPr>
        <w:t>VInnovate</w:t>
      </w:r>
      <w:proofErr w:type="spellEnd"/>
      <w:r>
        <w:rPr>
          <w:rFonts w:ascii="Montserrat" w:eastAsia="Montserrat" w:hAnsi="Montserrat" w:cs="Montserrat"/>
        </w:rPr>
        <w:t xml:space="preserve">     </w:t>
      </w:r>
    </w:p>
    <w:p w14:paraId="00000003" w14:textId="77777777" w:rsidR="00A552E2" w:rsidRDefault="001D1E2D">
      <w:pPr>
        <w:ind w:left="0" w:hanging="2"/>
        <w:jc w:val="right"/>
        <w:rPr>
          <w:rFonts w:ascii="Montserrat" w:eastAsia="Montserrat" w:hAnsi="Montserrat" w:cs="Montserrat"/>
          <w:sz w:val="22"/>
          <w:szCs w:val="22"/>
        </w:rPr>
      </w:pPr>
      <w:r>
        <w:rPr>
          <w:rFonts w:ascii="Montserrat" w:eastAsia="Montserrat" w:hAnsi="Montserrat" w:cs="Montserrat"/>
          <w:b/>
          <w:sz w:val="22"/>
          <w:szCs w:val="22"/>
        </w:rPr>
        <w:t>Anexa 8</w:t>
      </w:r>
    </w:p>
    <w:p w14:paraId="00000004" w14:textId="77777777" w:rsidR="00A552E2" w:rsidRDefault="00A552E2">
      <w:pPr>
        <w:ind w:left="0" w:hanging="2"/>
        <w:jc w:val="both"/>
        <w:rPr>
          <w:rFonts w:ascii="Montserrat" w:eastAsia="Montserrat" w:hAnsi="Montserrat" w:cs="Montserrat"/>
          <w:sz w:val="22"/>
          <w:szCs w:val="22"/>
        </w:rPr>
      </w:pPr>
    </w:p>
    <w:p w14:paraId="00000005" w14:textId="77777777" w:rsidR="00A552E2" w:rsidRDefault="00A552E2">
      <w:pPr>
        <w:ind w:left="0" w:hanging="2"/>
        <w:jc w:val="both"/>
        <w:rPr>
          <w:rFonts w:ascii="Montserrat" w:eastAsia="Montserrat" w:hAnsi="Montserrat" w:cs="Montserrat"/>
          <w:sz w:val="22"/>
          <w:szCs w:val="22"/>
        </w:rPr>
      </w:pPr>
    </w:p>
    <w:p w14:paraId="00000006" w14:textId="77777777" w:rsidR="00A552E2" w:rsidRDefault="001D1E2D">
      <w:pPr>
        <w:ind w:left="0" w:hanging="2"/>
        <w:jc w:val="center"/>
        <w:rPr>
          <w:rFonts w:ascii="Montserrat" w:eastAsia="Montserrat" w:hAnsi="Montserrat" w:cs="Montserrat"/>
          <w:sz w:val="22"/>
          <w:szCs w:val="22"/>
        </w:rPr>
      </w:pPr>
      <w:r>
        <w:rPr>
          <w:rFonts w:ascii="Montserrat" w:eastAsia="Montserrat" w:hAnsi="Montserrat" w:cs="Montserrat"/>
          <w:b/>
          <w:sz w:val="22"/>
          <w:szCs w:val="22"/>
        </w:rPr>
        <w:t xml:space="preserve">Reguli privind ajutoarele de </w:t>
      </w:r>
      <w:proofErr w:type="spellStart"/>
      <w:r>
        <w:rPr>
          <w:rFonts w:ascii="Montserrat" w:eastAsia="Montserrat" w:hAnsi="Montserrat" w:cs="Montserrat"/>
          <w:b/>
          <w:sz w:val="22"/>
          <w:szCs w:val="22"/>
        </w:rPr>
        <w:t>minimis</w:t>
      </w:r>
      <w:proofErr w:type="spellEnd"/>
    </w:p>
    <w:p w14:paraId="00000007" w14:textId="77777777" w:rsidR="00A552E2" w:rsidRDefault="00A552E2">
      <w:pPr>
        <w:ind w:left="0" w:hanging="2"/>
        <w:jc w:val="center"/>
        <w:rPr>
          <w:rFonts w:ascii="Montserrat" w:eastAsia="Montserrat" w:hAnsi="Montserrat" w:cs="Montserrat"/>
          <w:sz w:val="22"/>
          <w:szCs w:val="22"/>
        </w:rPr>
      </w:pPr>
    </w:p>
    <w:p w14:paraId="00000008" w14:textId="77777777" w:rsidR="00A552E2" w:rsidRDefault="001D1E2D">
      <w:pPr>
        <w:ind w:left="0" w:hanging="2"/>
        <w:jc w:val="both"/>
        <w:rPr>
          <w:rFonts w:ascii="Montserrat" w:eastAsia="Montserrat" w:hAnsi="Montserrat" w:cs="Montserrat"/>
          <w:color w:val="0070C0"/>
          <w:sz w:val="22"/>
          <w:szCs w:val="22"/>
        </w:rPr>
      </w:pPr>
      <w:r>
        <w:rPr>
          <w:rFonts w:ascii="Montserrat" w:eastAsia="Montserrat" w:hAnsi="Montserrat" w:cs="Montserrat"/>
          <w:b/>
          <w:color w:val="0070C0"/>
          <w:sz w:val="22"/>
          <w:szCs w:val="22"/>
        </w:rPr>
        <w:t>Valoarea ajutorului</w:t>
      </w:r>
    </w:p>
    <w:p w14:paraId="00000009" w14:textId="77777777" w:rsidR="00A552E2" w:rsidRDefault="00A552E2">
      <w:pPr>
        <w:ind w:left="0" w:hanging="2"/>
        <w:jc w:val="both"/>
        <w:rPr>
          <w:rFonts w:ascii="Montserrat" w:eastAsia="Montserrat" w:hAnsi="Montserrat" w:cs="Montserrat"/>
          <w:sz w:val="22"/>
          <w:szCs w:val="22"/>
        </w:rPr>
      </w:pPr>
    </w:p>
    <w:p w14:paraId="0000000A"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Valoarea finanțării nerambursabile solicitate pentru un proiect este de minimum 50.000 EUR și maximum 200.000 EUR, echivalent în lei la cursul de schimb </w:t>
      </w:r>
      <w:proofErr w:type="spellStart"/>
      <w:r>
        <w:rPr>
          <w:rFonts w:ascii="Montserrat" w:eastAsia="Montserrat" w:hAnsi="Montserrat" w:cs="Montserrat"/>
          <w:sz w:val="22"/>
          <w:szCs w:val="22"/>
        </w:rPr>
        <w:t>InforEuro</w:t>
      </w:r>
      <w:proofErr w:type="spellEnd"/>
      <w:r>
        <w:rPr>
          <w:rFonts w:ascii="Montserrat" w:eastAsia="Montserrat" w:hAnsi="Montserrat" w:cs="Montserrat"/>
          <w:sz w:val="22"/>
          <w:szCs w:val="22"/>
        </w:rPr>
        <w:t xml:space="preserve"> din luna publicării ghidului specific, cu respectarea regulii de cumul la nivel de întreprindere unică. </w:t>
      </w:r>
    </w:p>
    <w:p w14:paraId="0000000B" w14:textId="77777777" w:rsidR="00A552E2" w:rsidRDefault="00A552E2">
      <w:pPr>
        <w:ind w:left="0" w:hanging="2"/>
        <w:jc w:val="both"/>
        <w:rPr>
          <w:rFonts w:ascii="Montserrat" w:eastAsia="Montserrat" w:hAnsi="Montserrat" w:cs="Montserrat"/>
          <w:sz w:val="22"/>
          <w:szCs w:val="22"/>
        </w:rPr>
      </w:pPr>
    </w:p>
    <w:p w14:paraId="0000000C" w14:textId="77777777" w:rsidR="00A552E2" w:rsidRDefault="001D1E2D">
      <w:pPr>
        <w:ind w:left="0" w:hanging="2"/>
        <w:jc w:val="both"/>
        <w:rPr>
          <w:rFonts w:ascii="Montserrat" w:eastAsia="Montserrat" w:hAnsi="Montserrat" w:cs="Montserrat"/>
          <w:color w:val="0070C0"/>
          <w:sz w:val="22"/>
          <w:szCs w:val="22"/>
        </w:rPr>
      </w:pPr>
      <w:r>
        <w:rPr>
          <w:rFonts w:ascii="Montserrat" w:eastAsia="Montserrat" w:hAnsi="Montserrat" w:cs="Montserrat"/>
          <w:b/>
          <w:color w:val="0070C0"/>
          <w:sz w:val="22"/>
          <w:szCs w:val="22"/>
        </w:rPr>
        <w:t xml:space="preserve">Întreprinderea unică </w:t>
      </w:r>
    </w:p>
    <w:p w14:paraId="0000000D" w14:textId="77777777" w:rsidR="00A552E2" w:rsidRDefault="001D1E2D">
      <w:pPr>
        <w:numPr>
          <w:ilvl w:val="0"/>
          <w:numId w:val="10"/>
        </w:numPr>
        <w:pBdr>
          <w:top w:val="nil"/>
          <w:left w:val="nil"/>
          <w:bottom w:val="nil"/>
          <w:right w:val="nil"/>
          <w:between w:val="nil"/>
        </w:pBdr>
        <w:spacing w:line="240" w:lineRule="auto"/>
        <w:ind w:left="0" w:hanging="2"/>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În conformitate cu prevederile articolului 2 alineatul (2) din Regulamentul (UE) nr. 2023/2831, întreprinderea unică înseamnă toate întreprinderile între care există cel puțin una dintre relațiile următoare:</w:t>
      </w:r>
    </w:p>
    <w:p w14:paraId="0000000E" w14:textId="77777777" w:rsidR="00A552E2" w:rsidRDefault="001D1E2D">
      <w:pPr>
        <w:pBdr>
          <w:top w:val="nil"/>
          <w:left w:val="nil"/>
          <w:bottom w:val="nil"/>
          <w:right w:val="nil"/>
          <w:between w:val="nil"/>
        </w:pBdr>
        <w:spacing w:line="240" w:lineRule="auto"/>
        <w:ind w:left="0" w:hanging="2"/>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(i)</w:t>
      </w:r>
      <w:r>
        <w:rPr>
          <w:rFonts w:ascii="Montserrat" w:eastAsia="Montserrat" w:hAnsi="Montserrat" w:cs="Montserrat"/>
          <w:color w:val="000000"/>
          <w:sz w:val="22"/>
          <w:szCs w:val="22"/>
        </w:rPr>
        <w:t xml:space="preserve"> o întreprindere deține majoritatea drepturilor de vot ale acționarilor sau ale asociaților unei alte întreprinderi; </w:t>
      </w:r>
    </w:p>
    <w:p w14:paraId="0000000F" w14:textId="77777777" w:rsidR="00A552E2" w:rsidRDefault="001D1E2D">
      <w:pPr>
        <w:pBdr>
          <w:top w:val="nil"/>
          <w:left w:val="nil"/>
          <w:bottom w:val="nil"/>
          <w:right w:val="nil"/>
          <w:between w:val="nil"/>
        </w:pBdr>
        <w:spacing w:line="240" w:lineRule="auto"/>
        <w:ind w:left="0" w:hanging="2"/>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(ii)</w:t>
      </w:r>
      <w:r>
        <w:rPr>
          <w:rFonts w:ascii="Montserrat" w:eastAsia="Montserrat" w:hAnsi="Montserrat" w:cs="Montserrat"/>
          <w:color w:val="000000"/>
          <w:sz w:val="22"/>
          <w:szCs w:val="22"/>
        </w:rPr>
        <w:t xml:space="preserve"> o întreprindere are dreptul de a numi sau revoca majoritatea membrilor organelor de administrare, de conducere sau de supraveghere ale unei alte întreprinderi; </w:t>
      </w:r>
    </w:p>
    <w:p w14:paraId="00000010" w14:textId="77777777" w:rsidR="00A552E2" w:rsidRDefault="001D1E2D">
      <w:pPr>
        <w:pBdr>
          <w:top w:val="nil"/>
          <w:left w:val="nil"/>
          <w:bottom w:val="nil"/>
          <w:right w:val="nil"/>
          <w:between w:val="nil"/>
        </w:pBdr>
        <w:spacing w:line="240" w:lineRule="auto"/>
        <w:ind w:left="0" w:hanging="2"/>
        <w:jc w:val="both"/>
        <w:rPr>
          <w:rFonts w:ascii="Montserrat" w:eastAsia="Montserrat" w:hAnsi="Montserrat" w:cs="Montserrat"/>
          <w:color w:val="000000"/>
          <w:sz w:val="22"/>
          <w:szCs w:val="22"/>
        </w:rPr>
      </w:pPr>
      <w:r>
        <w:rPr>
          <w:rFonts w:ascii="Montserrat" w:eastAsia="Montserrat" w:hAnsi="Montserrat" w:cs="Montserrat"/>
          <w:b/>
          <w:color w:val="000000"/>
          <w:sz w:val="22"/>
          <w:szCs w:val="22"/>
        </w:rPr>
        <w:t>(iii)</w:t>
      </w:r>
      <w:r>
        <w:rPr>
          <w:rFonts w:ascii="Montserrat" w:eastAsia="Montserrat" w:hAnsi="Montserrat" w:cs="Montserrat"/>
          <w:color w:val="000000"/>
          <w:sz w:val="22"/>
          <w:szCs w:val="22"/>
        </w:rPr>
        <w:t xml:space="preserve"> o întreprindere are dreptul de a exercita o influență dominantă asupra altei întreprinderi în temeiul unui contract încheiat cu întreprinderea în cauză sau în temeiul unei prevederi din actul constitutiv sau din statutul acesteia; </w:t>
      </w:r>
    </w:p>
    <w:p w14:paraId="00000011"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b/>
          <w:sz w:val="22"/>
          <w:szCs w:val="22"/>
        </w:rPr>
        <w:t>(iv)</w:t>
      </w:r>
      <w:r>
        <w:rPr>
          <w:rFonts w:ascii="Montserrat" w:eastAsia="Montserrat" w:hAnsi="Montserrat" w:cs="Montserrat"/>
          <w:sz w:val="22"/>
          <w:szCs w:val="22"/>
        </w:rPr>
        <w:t xml:space="preserve"> o întreprindere care este acționar sau asociat al unei alte întreprinderi și care controlează singură, în baza unui acord cu alți acționari sau asociați ai acelei întreprinderi, majoritatea drepturilor de vot ale acționarilor sau ale asociaților întreprinderii respective.</w:t>
      </w:r>
    </w:p>
    <w:p w14:paraId="00000012"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Întreprinderile care întrețin, prin intermediul uneia sau al mai multor întreprinderi, oricare din relațiile la care se face referire la punctele (i) - (iv), sunt considerate la rândul lor întreprinderi unice.</w:t>
      </w:r>
    </w:p>
    <w:p w14:paraId="00000013" w14:textId="77777777" w:rsidR="00A552E2" w:rsidRDefault="001D1E2D">
      <w:pPr>
        <w:numPr>
          <w:ilvl w:val="0"/>
          <w:numId w:val="9"/>
        </w:numPr>
        <w:ind w:left="0" w:hanging="2"/>
        <w:jc w:val="both"/>
        <w:rPr>
          <w:rFonts w:ascii="Montserrat" w:eastAsia="Montserrat" w:hAnsi="Montserrat" w:cs="Montserrat"/>
          <w:sz w:val="22"/>
          <w:szCs w:val="22"/>
        </w:rPr>
      </w:pPr>
      <w:r>
        <w:rPr>
          <w:rFonts w:ascii="Montserrat" w:eastAsia="Montserrat" w:hAnsi="Montserrat" w:cs="Montserrat"/>
          <w:sz w:val="22"/>
          <w:szCs w:val="22"/>
        </w:rPr>
        <w:t>La identificarea întreprinderii unice, se vor avea în vedere doar întreprinderi legate înregistrate pe teritoriul aceluiași stat membru al Uniunii Europene. Astfel, chiar dacă întreprinderea A (înregistrată în România) este deținută în proporție de 60% de întreprinderea B (înregistrată în afara României), cele două întreprinderi nu sunt considerate o întreprindere unică.</w:t>
      </w:r>
    </w:p>
    <w:p w14:paraId="00000014" w14:textId="77777777" w:rsidR="00A552E2" w:rsidRDefault="001D1E2D">
      <w:pPr>
        <w:numPr>
          <w:ilvl w:val="0"/>
          <w:numId w:val="9"/>
        </w:numPr>
        <w:ind w:left="0" w:hanging="2"/>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Totuși, legătura dintre A și B trebuie luată în calcul la încadrarea solicitantului în categoria microîntreprinderilor – a se vedea secțiunea  ”Eligibilitatea solicitanților și partenerilor”. </w:t>
      </w:r>
    </w:p>
    <w:p w14:paraId="00000015" w14:textId="77777777" w:rsidR="00A552E2" w:rsidRDefault="001D1E2D">
      <w:pPr>
        <w:numPr>
          <w:ilvl w:val="0"/>
          <w:numId w:val="9"/>
        </w:numPr>
        <w:ind w:left="0" w:hanging="2"/>
        <w:jc w:val="both"/>
        <w:rPr>
          <w:rFonts w:ascii="Montserrat" w:eastAsia="Montserrat" w:hAnsi="Montserrat" w:cs="Montserrat"/>
          <w:sz w:val="22"/>
          <w:szCs w:val="22"/>
        </w:rPr>
      </w:pPr>
      <w:r>
        <w:rPr>
          <w:rFonts w:ascii="Montserrat" w:eastAsia="Montserrat" w:hAnsi="Montserrat" w:cs="Montserrat"/>
          <w:sz w:val="22"/>
          <w:szCs w:val="22"/>
        </w:rPr>
        <w:t>La identificarea întreprinderii unice, se vor avea în vedere doar legăturile stabilite între solicitant și alte întreprinderi - persoane juridice, respectiv orice entități care desfășoară activitate economică, înregistrate conform normelor în vigoare. Astfel, dacă întreprinderea A este deținută în proporție de 55% de o persoană fizică autorizată (PFA), atunci A și PFA formează o întreprindere unică.</w:t>
      </w:r>
    </w:p>
    <w:p w14:paraId="00000016" w14:textId="77777777" w:rsidR="00A552E2" w:rsidRDefault="001D1E2D">
      <w:pPr>
        <w:keepNext/>
        <w:numPr>
          <w:ilvl w:val="0"/>
          <w:numId w:val="9"/>
        </w:numPr>
        <w:pBdr>
          <w:top w:val="nil"/>
          <w:left w:val="nil"/>
          <w:bottom w:val="nil"/>
          <w:right w:val="nil"/>
          <w:between w:val="nil"/>
        </w:pBdr>
        <w:spacing w:line="240" w:lineRule="auto"/>
        <w:ind w:left="0" w:hanging="2"/>
        <w:jc w:val="both"/>
        <w:rPr>
          <w:rFonts w:ascii="Montserrat" w:eastAsia="Montserrat" w:hAnsi="Montserrat" w:cs="Montserrat"/>
          <w:color w:val="000000"/>
          <w:sz w:val="22"/>
          <w:szCs w:val="22"/>
        </w:rPr>
      </w:pPr>
      <w:bookmarkStart w:id="0" w:name="_heading=h.gjdgxs" w:colFirst="0" w:colLast="0"/>
      <w:bookmarkEnd w:id="0"/>
      <w:r>
        <w:rPr>
          <w:rFonts w:ascii="Montserrat" w:eastAsia="Montserrat" w:hAnsi="Montserrat" w:cs="Montserrat"/>
          <w:color w:val="000000"/>
          <w:sz w:val="22"/>
          <w:szCs w:val="22"/>
        </w:rPr>
        <w:t xml:space="preserve">Legăturile stabilite prin intermediul unei persoane fizice, sau al unui grup de persoane fizice care acționează de comun acord (a se vedea Legea 346/2004 – Art. 4^4 alin 4) trebuie luate în calcul la încadrarea solicitantului în categoria microîntreprinderilor – a se vedea secțiunea  ”Eligibilitatea solicitanților și partenerilor”. </w:t>
      </w:r>
    </w:p>
    <w:p w14:paraId="00000017" w14:textId="77777777" w:rsidR="00A552E2" w:rsidRDefault="001D1E2D">
      <w:pPr>
        <w:numPr>
          <w:ilvl w:val="0"/>
          <w:numId w:val="9"/>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Astfel, dacă întreprinderea A (solicitant) și B sunt considerate legate prin intermediul persoanei fizice X, pentru verificarea încadrării lui A în categoria microîntreprinderilor (i.e. număr mediu de salariați mai mic decât 10 și cifră de afaceri anuală netă sau active totale de până la 2 milioane EUR), la datele întreprinderii A se vor adăuga în totalitate datele (numărul mediu de salariați) înregistrate de B. Pe de altă parte, în ceea ce privește acordarea și cumularea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A și B nu vor fi considerate ca formând o întreprindere unică.</w:t>
      </w:r>
    </w:p>
    <w:p w14:paraId="00000018" w14:textId="77777777" w:rsidR="00A552E2" w:rsidRDefault="00A552E2">
      <w:pPr>
        <w:ind w:left="0" w:hanging="2"/>
        <w:jc w:val="both"/>
        <w:rPr>
          <w:rFonts w:ascii="Montserrat" w:eastAsia="Montserrat" w:hAnsi="Montserrat" w:cs="Montserrat"/>
          <w:sz w:val="22"/>
          <w:szCs w:val="22"/>
        </w:rPr>
      </w:pPr>
    </w:p>
    <w:p w14:paraId="00000019" w14:textId="77777777" w:rsidR="00A552E2" w:rsidRDefault="001D1E2D">
      <w:pPr>
        <w:ind w:left="0" w:hanging="2"/>
        <w:jc w:val="both"/>
        <w:rPr>
          <w:rFonts w:ascii="Montserrat" w:eastAsia="Montserrat" w:hAnsi="Montserrat" w:cs="Montserrat"/>
          <w:color w:val="0070C0"/>
          <w:sz w:val="22"/>
          <w:szCs w:val="22"/>
        </w:rPr>
      </w:pPr>
      <w:r>
        <w:rPr>
          <w:rFonts w:ascii="Montserrat" w:eastAsia="Montserrat" w:hAnsi="Montserrat" w:cs="Montserrat"/>
          <w:b/>
          <w:color w:val="0070C0"/>
          <w:sz w:val="22"/>
          <w:szCs w:val="22"/>
        </w:rPr>
        <w:t xml:space="preserve">Condiții de acordare a ajutorului de </w:t>
      </w:r>
      <w:proofErr w:type="spellStart"/>
      <w:r>
        <w:rPr>
          <w:rFonts w:ascii="Montserrat" w:eastAsia="Montserrat" w:hAnsi="Montserrat" w:cs="Montserrat"/>
          <w:b/>
          <w:color w:val="0070C0"/>
          <w:sz w:val="22"/>
          <w:szCs w:val="22"/>
        </w:rPr>
        <w:t>minimis</w:t>
      </w:r>
      <w:proofErr w:type="spellEnd"/>
      <w:r>
        <w:rPr>
          <w:rFonts w:ascii="Montserrat" w:eastAsia="Montserrat" w:hAnsi="Montserrat" w:cs="Montserrat"/>
          <w:b/>
          <w:color w:val="0070C0"/>
          <w:sz w:val="22"/>
          <w:szCs w:val="22"/>
        </w:rPr>
        <w:t>:</w:t>
      </w:r>
    </w:p>
    <w:p w14:paraId="0000001A"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Ajutorul se acordă sub formă de grant (finanțare nerambursabilă), ca suma brută, înainte de orice deducere de impozite şi taxe;</w:t>
      </w:r>
    </w:p>
    <w:p w14:paraId="0000001B"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Respectarea plafonului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are în vedere o întreprindere unică, așa cum este aceasta definită mai sus.</w:t>
      </w:r>
    </w:p>
    <w:p w14:paraId="0000001C"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Valoarea totală a ajutoarelor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per stat membru unei întreprinderi unice, așa cum este aceasta a fost anterior definită, trebuie să respecte regulile de cumul, respectiv:</w:t>
      </w:r>
    </w:p>
    <w:p w14:paraId="0000001D" w14:textId="77777777" w:rsidR="00A552E2" w:rsidRDefault="001D1E2D">
      <w:pPr>
        <w:numPr>
          <w:ilvl w:val="0"/>
          <w:numId w:val="3"/>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Valoarea maximă totală a ajutoarelor </w:t>
      </w:r>
      <w:r w:rsidRPr="00E01DA4">
        <w:rPr>
          <w:rFonts w:ascii="Montserrat" w:eastAsia="Montserrat" w:hAnsi="Montserrat" w:cs="Montserrat"/>
          <w:iCs/>
          <w:sz w:val="22"/>
          <w:szCs w:val="22"/>
        </w:rPr>
        <w:t xml:space="preserve">de </w:t>
      </w:r>
      <w:proofErr w:type="spellStart"/>
      <w:r w:rsidRPr="00E01DA4">
        <w:rPr>
          <w:rFonts w:ascii="Montserrat" w:eastAsia="Montserrat" w:hAnsi="Montserrat" w:cs="Montserrat"/>
          <w:iCs/>
          <w:sz w:val="22"/>
          <w:szCs w:val="22"/>
        </w:rPr>
        <w:t>minimis</w:t>
      </w:r>
      <w:proofErr w:type="spellEnd"/>
      <w:r>
        <w:rPr>
          <w:rFonts w:ascii="Montserrat" w:eastAsia="Montserrat" w:hAnsi="Montserrat" w:cs="Montserrat"/>
          <w:i/>
          <w:sz w:val="22"/>
          <w:szCs w:val="22"/>
        </w:rPr>
        <w:t xml:space="preserve"> </w:t>
      </w:r>
      <w:r>
        <w:rPr>
          <w:rFonts w:ascii="Montserrat" w:eastAsia="Montserrat" w:hAnsi="Montserrat" w:cs="Montserrat"/>
          <w:sz w:val="22"/>
          <w:szCs w:val="22"/>
        </w:rPr>
        <w:t>de care poate beneficia întreprinderea unică nu trebuie să depășească plafonul de 300 000 EUR în nici o perioadă de 3 ani,  evaluată în mod continuu.</w:t>
      </w:r>
      <w:r>
        <w:rPr>
          <w:rFonts w:ascii="Montserrat" w:eastAsia="Montserrat" w:hAnsi="Montserrat" w:cs="Montserrat"/>
          <w:b/>
          <w:sz w:val="22"/>
          <w:szCs w:val="22"/>
        </w:rPr>
        <w:t xml:space="preserve"> </w:t>
      </w:r>
      <w:r>
        <w:rPr>
          <w:rFonts w:ascii="Montserrat" w:eastAsia="Montserrat" w:hAnsi="Montserrat" w:cs="Montserrat"/>
          <w:sz w:val="22"/>
          <w:szCs w:val="22"/>
        </w:rPr>
        <w:t xml:space="preserve">Astfel pentru fiecare nou ajutor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 trebuie luată în considerare valoarea totală a ajutoarelor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în ultimii 3 ani.</w:t>
      </w:r>
    </w:p>
    <w:p w14:paraId="0000001F" w14:textId="59451738" w:rsidR="00A552E2" w:rsidRDefault="001D1E2D">
      <w:pPr>
        <w:numPr>
          <w:ilvl w:val="0"/>
          <w:numId w:val="3"/>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în baza prezentului Ghid  pot fi cumulate cu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în conformitate cu Regulamentele (UE) nr. 2023/</w:t>
      </w:r>
      <w:sdt>
        <w:sdtPr>
          <w:tag w:val="goog_rdk_0"/>
          <w:id w:val="-294828814"/>
        </w:sdtPr>
        <w:sdtEndPr/>
        <w:sdtContent/>
      </w:sdt>
      <w:r>
        <w:rPr>
          <w:rFonts w:ascii="Montserrat" w:eastAsia="Montserrat" w:hAnsi="Montserrat" w:cs="Montserrat"/>
          <w:sz w:val="22"/>
          <w:szCs w:val="22"/>
        </w:rPr>
        <w:t xml:space="preserve">2832, Regulamentul (UE) nr. 1408/2013 al Comisiei din 18 decembrie 2013 privind aplicarea articolelor 107 și 108 din Tratatul privind funcționarea Uniunii Europene ajutoarelor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în sectorul agricol  și (UE) nr. 717/2014 al Comisiei din 27 iunie 2014 privind aplicarea articolelor 107 și 108 din Tratatul privind funcționarea Uniunii Europene ajutoarelor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în sectorul pescuitului și acvaculturii, în limita plafonului relevant prevăzut la </w:t>
      </w:r>
      <w:proofErr w:type="spellStart"/>
      <w:r>
        <w:rPr>
          <w:rFonts w:ascii="Montserrat" w:eastAsia="Montserrat" w:hAnsi="Montserrat" w:cs="Montserrat"/>
          <w:sz w:val="22"/>
          <w:szCs w:val="22"/>
        </w:rPr>
        <w:t>lit</w:t>
      </w:r>
      <w:proofErr w:type="spellEnd"/>
      <w:r>
        <w:rPr>
          <w:rFonts w:ascii="Montserrat" w:eastAsia="Montserrat" w:hAnsi="Montserrat" w:cs="Montserrat"/>
          <w:sz w:val="22"/>
          <w:szCs w:val="22"/>
        </w:rPr>
        <w:t xml:space="preserve"> (a).</w:t>
      </w:r>
    </w:p>
    <w:p w14:paraId="00000020" w14:textId="77777777" w:rsidR="00A552E2" w:rsidRDefault="001D1E2D">
      <w:pPr>
        <w:numPr>
          <w:ilvl w:val="0"/>
          <w:numId w:val="3"/>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în conformitate cu prezentul Ghid  nu se cumulează cu ajutoare de stat acordate pentru aceleași costuri eligibile sau cu ajutoare de stat acordate pentru aceeași măsură de finanțare de risc dacă o astfel de cumulare ar depăși intensitatea sau valoarea maximă relevantă a ajutorului stabilită pentru condițiile </w:t>
      </w:r>
      <w:r>
        <w:rPr>
          <w:rFonts w:ascii="Montserrat" w:eastAsia="Montserrat" w:hAnsi="Montserrat" w:cs="Montserrat"/>
          <w:sz w:val="22"/>
          <w:szCs w:val="22"/>
        </w:rPr>
        <w:lastRenderedPageBreak/>
        <w:t>specifice ale fiecărui caz de un regulament sau de o decizie de exceptare pe categorii adoptat(ă) de Comisie.</w:t>
      </w:r>
    </w:p>
    <w:p w14:paraId="00000021"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Ajutoare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se vor cumula:</w:t>
      </w:r>
    </w:p>
    <w:p w14:paraId="00000022" w14:textId="77777777" w:rsidR="00A552E2" w:rsidRDefault="001D1E2D">
      <w:pPr>
        <w:numPr>
          <w:ilvl w:val="0"/>
          <w:numId w:val="1"/>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primite de întreprinderea solicitantă; </w:t>
      </w:r>
    </w:p>
    <w:p w14:paraId="00000023" w14:textId="77777777" w:rsidR="00A552E2" w:rsidRDefault="001D1E2D">
      <w:pPr>
        <w:numPr>
          <w:ilvl w:val="0"/>
          <w:numId w:val="1"/>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primite de toate celelalte întreprinderi cu care întreprinderea solicitantă formează întreprinderea unică (grupul de întreprinderi legate); </w:t>
      </w:r>
    </w:p>
    <w:p w14:paraId="00000024" w14:textId="77777777" w:rsidR="00A552E2" w:rsidRDefault="001D1E2D">
      <w:pPr>
        <w:numPr>
          <w:ilvl w:val="0"/>
          <w:numId w:val="1"/>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dacă solicitantul este o întreprindere înființată ca urmare a fuzionării prin contopire a două sau mai multor întreprinderi, se vor cumula toate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primite, în perioada celor 3 ani, de fiecare din întreprinderile care au fuzionat. Același principiu se aplică în cazul unei întreprinderi care a fuzionat cu alte întreprinderi, prin absorbirea acestora; </w:t>
      </w:r>
    </w:p>
    <w:p w14:paraId="00000025" w14:textId="77777777" w:rsidR="00A552E2" w:rsidRDefault="001D1E2D">
      <w:pPr>
        <w:numPr>
          <w:ilvl w:val="0"/>
          <w:numId w:val="1"/>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în cazul divizării unei întreprinderi, ajutorul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primit înainte de divizare se va aloca/atribui acelei întreprinderi care a beneficiat/ beneficiază de el, aceasta fiind, în principiu, cea care a preluat activitatea (activitățile) pentru care a fost acordat ajutorul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Dacă această alocare nu poate fi făcută, ajutorul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va fi atribuit în mod proporțional în funcție de valoarea capitalurilor noilor întreprinderi, la data divizării. </w:t>
      </w:r>
    </w:p>
    <w:p w14:paraId="00000026"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Cumularea ajutoarelor primite în regim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se face indiferent de: </w:t>
      </w:r>
    </w:p>
    <w:p w14:paraId="00000027" w14:textId="77777777" w:rsidR="00A552E2" w:rsidRDefault="001D1E2D">
      <w:pPr>
        <w:numPr>
          <w:ilvl w:val="0"/>
          <w:numId w:val="2"/>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Sursa ajutoarelor (ex: buget de stat, buget local, fonduri europene); </w:t>
      </w:r>
    </w:p>
    <w:p w14:paraId="00000028" w14:textId="77777777" w:rsidR="00A552E2" w:rsidRDefault="001D1E2D">
      <w:pPr>
        <w:numPr>
          <w:ilvl w:val="0"/>
          <w:numId w:val="2"/>
        </w:num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Forma ajutoarelor (ex: finanţare nerambursabilă, scutiri de la plata unor taxe, garanții, facilități privind creditele primite, dobânzi subvenționate, garanții bancare). </w:t>
      </w:r>
    </w:p>
    <w:p w14:paraId="00000029"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Pentru respectarea regulilor de cumul, solicitantul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va prezenta  în Cererea de finanțare informațiile referitoare la orice alt ajutor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primit de acesta și de întreprinderile cu care formează, împreună, o întreprindere unică, în ultimii 3 ani , până la depunerea cererii de finantare, respectiv încheierea actului de acordare a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Informațiile din Cererea de finanțare vor fi actualizate de către solicitantul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înainte de încheierea actului de acordare a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w:t>
      </w:r>
    </w:p>
    <w:p w14:paraId="0000002A"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În cazul în care, după aplicarea regulilor de cumul, prin luarea în calcul și a valorii finanțării nerambursabile solicitată prin cererea de finanțare, se depășește plafonul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specific (respectiv 300.000 EUR), întreprinderea poate opta, până la acordarea acestui ajutor, pentru reducerea finanțării solicitate sau pentru renunțarea, integrală sau parțială, la ajutoare anterioare deja primite pentru a nu depăși acest plafon, conform Deciziei CEJ în cauza C 608/19.</w:t>
      </w:r>
    </w:p>
    <w:p w14:paraId="0000002B"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Reducerea finanțării solicitate poate fi efectuată și în situația în care nu există un ajutor acordat anterior, atât în scopul încadrării în pragul maxim al finanțării stabilit prin prezentul ghid, cât și în scopul încadrării în plafonul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w:t>
      </w:r>
    </w:p>
    <w:p w14:paraId="0000002C"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Cererea de finanțare va fi respinsă dacă Solicitantul nu ajustează valoarea solicitată astfel încât să se încadreze sub pragul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sau nu renunță, integral sau parțial, la ajutoare anterioare deja primite, pentru a nu depăși acest plafon.</w:t>
      </w:r>
    </w:p>
    <w:p w14:paraId="0000002E"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În cazul fuziunilor sau al achizițiilor, atunci când se stabilește dacă un nou ajutor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 întreprinderii rezultate ca urmare a procesului de fuziune/achiziție sau întreprinderii care face achiziția, depășește plafonul relevant, se iau în considerare toate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anterioare acordate tuturor întreprinderilor care fuzionează. </w:t>
      </w:r>
      <w:r>
        <w:rPr>
          <w:rFonts w:ascii="Montserrat" w:eastAsia="Montserrat" w:hAnsi="Montserrat" w:cs="Montserrat"/>
          <w:sz w:val="22"/>
          <w:szCs w:val="22"/>
        </w:rPr>
        <w:lastRenderedPageBreak/>
        <w:t xml:space="preserve">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legal înainte de fuziune sau achiziție rămân legal acordate.</w:t>
      </w:r>
    </w:p>
    <w:p w14:paraId="0000002F"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În cazul în care o întreprindere se împarte în două sau mai multe întreprinderi separate,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înainte de separare se alocă întreprinderii care a beneficiat de acestea, și anume, în principiu, întreprinderii care preia activitățile pentru care au fost utilizate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În cazul în care o astfel de alocare nu este posibilă,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se alocă proporțional pe baza valorii contabile a capitalului propriu al noilor întreprinderi la data efectivă a separării.</w:t>
      </w:r>
    </w:p>
    <w:p w14:paraId="00000030" w14:textId="77777777" w:rsidR="00A552E2" w:rsidRDefault="00A552E2">
      <w:pPr>
        <w:ind w:left="0" w:hanging="2"/>
        <w:jc w:val="both"/>
        <w:rPr>
          <w:rFonts w:ascii="Montserrat" w:eastAsia="Montserrat" w:hAnsi="Montserrat" w:cs="Montserrat"/>
          <w:color w:val="0070C0"/>
          <w:sz w:val="22"/>
          <w:szCs w:val="22"/>
        </w:rPr>
      </w:pPr>
    </w:p>
    <w:p w14:paraId="00000031" w14:textId="77777777" w:rsidR="00A552E2" w:rsidRDefault="001D1E2D">
      <w:pPr>
        <w:ind w:left="0" w:hanging="2"/>
        <w:jc w:val="both"/>
        <w:rPr>
          <w:rFonts w:ascii="Montserrat" w:eastAsia="Montserrat" w:hAnsi="Montserrat" w:cs="Montserrat"/>
          <w:color w:val="0070C0"/>
          <w:sz w:val="22"/>
          <w:szCs w:val="22"/>
        </w:rPr>
      </w:pPr>
      <w:r>
        <w:rPr>
          <w:rFonts w:ascii="Montserrat" w:eastAsia="Montserrat" w:hAnsi="Montserrat" w:cs="Montserrat"/>
          <w:b/>
          <w:color w:val="0070C0"/>
          <w:sz w:val="22"/>
          <w:szCs w:val="22"/>
        </w:rPr>
        <w:t xml:space="preserve">Data acordării ajutorului de </w:t>
      </w:r>
      <w:proofErr w:type="spellStart"/>
      <w:r>
        <w:rPr>
          <w:rFonts w:ascii="Montserrat" w:eastAsia="Montserrat" w:hAnsi="Montserrat" w:cs="Montserrat"/>
          <w:b/>
          <w:color w:val="0070C0"/>
          <w:sz w:val="22"/>
          <w:szCs w:val="22"/>
        </w:rPr>
        <w:t>minimis</w:t>
      </w:r>
      <w:proofErr w:type="spellEnd"/>
      <w:r>
        <w:rPr>
          <w:rFonts w:ascii="Montserrat" w:eastAsia="Montserrat" w:hAnsi="Montserrat" w:cs="Montserrat"/>
          <w:b/>
          <w:color w:val="0070C0"/>
          <w:sz w:val="22"/>
          <w:szCs w:val="22"/>
        </w:rPr>
        <w:t xml:space="preserve"> </w:t>
      </w:r>
    </w:p>
    <w:p w14:paraId="00000032"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Din perspectiva monitorizării cumulului ajutoarelor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de care poate beneficia o întreprindere unică în ultimii 3 ani calendaristici, în conformitate cu prevederile Regulamentului (UE) nr. 2831/2023, momentul acordării ajutorului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se consideră data semnării contractului de finanțare indiferent de data la care 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se plătesc întreprinderii respective.</w:t>
      </w:r>
    </w:p>
    <w:p w14:paraId="757CF8B4" w14:textId="1A988254" w:rsidR="001D1E2D" w:rsidRDefault="00B96CBC">
      <w:pPr>
        <w:ind w:left="0" w:hanging="2"/>
        <w:jc w:val="both"/>
        <w:rPr>
          <w:rFonts w:ascii="Montserrat" w:eastAsia="Montserrat" w:hAnsi="Montserrat" w:cs="Montserrat"/>
          <w:sz w:val="22"/>
          <w:szCs w:val="22"/>
        </w:rPr>
      </w:pPr>
      <w:sdt>
        <w:sdtPr>
          <w:tag w:val="goog_rdk_1"/>
          <w:id w:val="-1094010144"/>
        </w:sdtPr>
        <w:sdtEndPr/>
        <w:sdtContent/>
      </w:sdt>
      <w:r w:rsidR="001D1E2D" w:rsidRPr="001D1E2D">
        <w:rPr>
          <w:rFonts w:ascii="Montserrat" w:eastAsia="Montserrat" w:hAnsi="Montserrat" w:cs="Montserrat"/>
          <w:sz w:val="22"/>
          <w:szCs w:val="22"/>
        </w:rPr>
        <w:t xml:space="preserve">La semnarea contractului de finanțare, pentru calcularea cuantumului ajutorului de </w:t>
      </w:r>
      <w:proofErr w:type="spellStart"/>
      <w:r w:rsidR="001D1E2D" w:rsidRPr="001D1E2D">
        <w:rPr>
          <w:rFonts w:ascii="Montserrat" w:eastAsia="Montserrat" w:hAnsi="Montserrat" w:cs="Montserrat"/>
          <w:sz w:val="22"/>
          <w:szCs w:val="22"/>
        </w:rPr>
        <w:t>minimis</w:t>
      </w:r>
      <w:proofErr w:type="spellEnd"/>
      <w:r w:rsidR="001D1E2D" w:rsidRPr="001D1E2D">
        <w:rPr>
          <w:rFonts w:ascii="Montserrat" w:eastAsia="Montserrat" w:hAnsi="Montserrat" w:cs="Montserrat"/>
          <w:sz w:val="22"/>
          <w:szCs w:val="22"/>
        </w:rPr>
        <w:t xml:space="preserve">, se utilizează cursul </w:t>
      </w:r>
      <w:proofErr w:type="spellStart"/>
      <w:r w:rsidR="001D1E2D" w:rsidRPr="001D1E2D">
        <w:rPr>
          <w:rFonts w:ascii="Montserrat" w:eastAsia="Montserrat" w:hAnsi="Montserrat" w:cs="Montserrat"/>
          <w:sz w:val="22"/>
          <w:szCs w:val="22"/>
        </w:rPr>
        <w:t>InforEuro</w:t>
      </w:r>
      <w:proofErr w:type="spellEnd"/>
      <w:r w:rsidR="001D1E2D" w:rsidRPr="001D1E2D">
        <w:rPr>
          <w:rFonts w:ascii="Montserrat" w:eastAsia="Montserrat" w:hAnsi="Montserrat" w:cs="Montserrat"/>
          <w:sz w:val="22"/>
          <w:szCs w:val="22"/>
        </w:rPr>
        <w:t xml:space="preserve"> valabil la data semnării contractului de finanțare.</w:t>
      </w:r>
    </w:p>
    <w:p w14:paraId="00000034" w14:textId="77777777" w:rsidR="00A552E2" w:rsidRDefault="00A552E2">
      <w:pPr>
        <w:ind w:left="0" w:hanging="2"/>
        <w:jc w:val="both"/>
        <w:rPr>
          <w:rFonts w:ascii="Montserrat" w:eastAsia="Montserrat" w:hAnsi="Montserrat" w:cs="Montserrat"/>
          <w:color w:val="0070C0"/>
          <w:sz w:val="22"/>
          <w:szCs w:val="22"/>
        </w:rPr>
      </w:pPr>
    </w:p>
    <w:p w14:paraId="00000035" w14:textId="77777777" w:rsidR="00A552E2" w:rsidRDefault="001D1E2D">
      <w:pPr>
        <w:numPr>
          <w:ilvl w:val="2"/>
          <w:numId w:val="4"/>
        </w:numPr>
        <w:spacing w:after="0"/>
        <w:ind w:left="0" w:hanging="2"/>
        <w:jc w:val="both"/>
        <w:rPr>
          <w:rFonts w:ascii="Montserrat" w:eastAsia="Montserrat" w:hAnsi="Montserrat" w:cs="Montserrat"/>
          <w:color w:val="0070C0"/>
          <w:sz w:val="22"/>
          <w:szCs w:val="22"/>
        </w:rPr>
      </w:pPr>
      <w:r>
        <w:rPr>
          <w:rFonts w:ascii="Montserrat" w:eastAsia="Montserrat" w:hAnsi="Montserrat" w:cs="Montserrat"/>
          <w:b/>
          <w:color w:val="0070C0"/>
          <w:sz w:val="22"/>
          <w:szCs w:val="22"/>
        </w:rPr>
        <w:t>Domeniul de aplicare:</w:t>
      </w:r>
    </w:p>
    <w:p w14:paraId="00000036" w14:textId="77777777" w:rsidR="00A552E2" w:rsidRDefault="00A552E2">
      <w:pPr>
        <w:numPr>
          <w:ilvl w:val="2"/>
          <w:numId w:val="4"/>
        </w:numPr>
        <w:spacing w:before="0" w:after="0"/>
        <w:ind w:left="0" w:hanging="2"/>
        <w:jc w:val="both"/>
        <w:rPr>
          <w:rFonts w:ascii="Montserrat" w:eastAsia="Montserrat" w:hAnsi="Montserrat" w:cs="Montserrat"/>
          <w:color w:val="0070C0"/>
          <w:sz w:val="22"/>
          <w:szCs w:val="22"/>
        </w:rPr>
      </w:pPr>
    </w:p>
    <w:p w14:paraId="00000037" w14:textId="77777777" w:rsidR="00A552E2" w:rsidRDefault="001D1E2D">
      <w:pPr>
        <w:numPr>
          <w:ilvl w:val="0"/>
          <w:numId w:val="4"/>
        </w:numPr>
        <w:spacing w:before="0"/>
        <w:ind w:left="0" w:hanging="2"/>
        <w:jc w:val="both"/>
        <w:rPr>
          <w:rFonts w:ascii="Montserrat" w:eastAsia="Montserrat" w:hAnsi="Montserrat" w:cs="Montserrat"/>
          <w:sz w:val="22"/>
          <w:szCs w:val="22"/>
        </w:rPr>
      </w:pPr>
      <w:r>
        <w:rPr>
          <w:rFonts w:ascii="Montserrat" w:eastAsia="Montserrat" w:hAnsi="Montserrat" w:cs="Montserrat"/>
          <w:sz w:val="22"/>
          <w:szCs w:val="22"/>
        </w:rPr>
        <w:t xml:space="preserve">Ajutoarele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acordate pentru proiectele finanțate prin prezentul apel nu se aplică excluderilor prevăzute de:</w:t>
      </w:r>
    </w:p>
    <w:p w14:paraId="00000038"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b/>
          <w:sz w:val="22"/>
          <w:szCs w:val="22"/>
        </w:rPr>
        <w:t xml:space="preserve">Regulamentul de </w:t>
      </w:r>
      <w:proofErr w:type="spellStart"/>
      <w:r>
        <w:rPr>
          <w:rFonts w:ascii="Montserrat" w:eastAsia="Montserrat" w:hAnsi="Montserrat" w:cs="Montserrat"/>
          <w:b/>
          <w:sz w:val="22"/>
          <w:szCs w:val="22"/>
        </w:rPr>
        <w:t>minimis</w:t>
      </w:r>
      <w:proofErr w:type="spellEnd"/>
      <w:r>
        <w:rPr>
          <w:rFonts w:ascii="Montserrat" w:eastAsia="Montserrat" w:hAnsi="Montserrat" w:cs="Montserrat"/>
          <w:b/>
          <w:sz w:val="22"/>
          <w:szCs w:val="22"/>
        </w:rPr>
        <w:t xml:space="preserve"> (UE) nr. 2023/2831, respectiv:</w:t>
      </w:r>
    </w:p>
    <w:p w14:paraId="00000039" w14:textId="77777777" w:rsidR="00A552E2" w:rsidRDefault="001D1E2D">
      <w:pPr>
        <w:numPr>
          <w:ilvl w:val="0"/>
          <w:numId w:val="5"/>
        </w:numPr>
        <w:ind w:left="0" w:hanging="2"/>
        <w:jc w:val="both"/>
        <w:rPr>
          <w:rFonts w:ascii="Montserrat" w:eastAsia="Montserrat" w:hAnsi="Montserrat" w:cs="Montserrat"/>
          <w:sz w:val="22"/>
          <w:szCs w:val="22"/>
        </w:rPr>
      </w:pPr>
      <w:r>
        <w:rPr>
          <w:rFonts w:ascii="Montserrat" w:eastAsia="Montserrat" w:hAnsi="Montserrat" w:cs="Montserrat"/>
          <w:sz w:val="22"/>
          <w:szCs w:val="22"/>
        </w:rPr>
        <w:t>ajutoarelor acordate întreprinderilor care își desfășoară activitatea în domeniul  producției primare de produse pescărești și de acvacultură;</w:t>
      </w:r>
    </w:p>
    <w:p w14:paraId="0000003A" w14:textId="77777777" w:rsidR="00A552E2" w:rsidRDefault="001D1E2D">
      <w:pPr>
        <w:numPr>
          <w:ilvl w:val="0"/>
          <w:numId w:val="5"/>
        </w:numPr>
        <w:ind w:left="0" w:hanging="2"/>
        <w:jc w:val="both"/>
        <w:rPr>
          <w:rFonts w:ascii="Montserrat" w:eastAsia="Montserrat" w:hAnsi="Montserrat" w:cs="Montserrat"/>
          <w:sz w:val="22"/>
          <w:szCs w:val="22"/>
        </w:rPr>
      </w:pPr>
      <w:r>
        <w:rPr>
          <w:rFonts w:ascii="Montserrat" w:eastAsia="Montserrat" w:hAnsi="Montserrat" w:cs="Montserrat"/>
          <w:sz w:val="22"/>
          <w:szCs w:val="22"/>
        </w:rPr>
        <w:t>ajutoarelor acordate întreprinderilor care desfășoară activități de prelucrare și comercializare a produselor pescărești și de acvacultură, în cazul în care cuantumul ajutoarelor este stabilit pe baza prețului sau a cantității de produse achiziționate sau introduse pe piață;</w:t>
      </w:r>
    </w:p>
    <w:p w14:paraId="0000003B" w14:textId="77777777" w:rsidR="00A552E2" w:rsidRDefault="001D1E2D">
      <w:pPr>
        <w:numPr>
          <w:ilvl w:val="0"/>
          <w:numId w:val="5"/>
        </w:numPr>
        <w:ind w:left="0" w:hanging="2"/>
        <w:jc w:val="both"/>
        <w:rPr>
          <w:rFonts w:ascii="Montserrat" w:eastAsia="Montserrat" w:hAnsi="Montserrat" w:cs="Montserrat"/>
          <w:sz w:val="22"/>
          <w:szCs w:val="22"/>
        </w:rPr>
      </w:pPr>
      <w:r>
        <w:rPr>
          <w:rFonts w:ascii="Montserrat" w:eastAsia="Montserrat" w:hAnsi="Montserrat" w:cs="Montserrat"/>
          <w:sz w:val="22"/>
          <w:szCs w:val="22"/>
        </w:rPr>
        <w:t>ajutoarelor acordate întreprinderilor care își desfășoară activitatea în domeniul  producției primare de produse agricole;</w:t>
      </w:r>
    </w:p>
    <w:p w14:paraId="0000003C" w14:textId="77777777" w:rsidR="00A552E2" w:rsidRDefault="001D1E2D">
      <w:pPr>
        <w:numPr>
          <w:ilvl w:val="0"/>
          <w:numId w:val="5"/>
        </w:numPr>
        <w:ind w:left="0" w:hanging="2"/>
        <w:rPr>
          <w:rFonts w:ascii="Montserrat" w:eastAsia="Montserrat" w:hAnsi="Montserrat" w:cs="Montserrat"/>
          <w:sz w:val="22"/>
          <w:szCs w:val="22"/>
        </w:rPr>
      </w:pPr>
      <w:r>
        <w:rPr>
          <w:rFonts w:ascii="Montserrat" w:eastAsia="Montserrat" w:hAnsi="Montserrat" w:cs="Montserrat"/>
          <w:sz w:val="22"/>
          <w:szCs w:val="22"/>
        </w:rPr>
        <w:t>ajutoarelor acordate întreprinderilor care desfășoară activități de prelucrare și  comercializare a produselor agricole, în unul din următoarele cazuri:</w:t>
      </w:r>
    </w:p>
    <w:p w14:paraId="0000003D" w14:textId="77777777" w:rsidR="00A552E2" w:rsidRDefault="001D1E2D">
      <w:pPr>
        <w:numPr>
          <w:ilvl w:val="0"/>
          <w:numId w:val="6"/>
        </w:numPr>
        <w:ind w:left="0" w:hanging="2"/>
        <w:jc w:val="both"/>
        <w:rPr>
          <w:rFonts w:ascii="Montserrat" w:eastAsia="Montserrat" w:hAnsi="Montserrat" w:cs="Montserrat"/>
          <w:sz w:val="22"/>
          <w:szCs w:val="22"/>
        </w:rPr>
      </w:pPr>
      <w:r>
        <w:rPr>
          <w:rFonts w:ascii="Montserrat" w:eastAsia="Montserrat" w:hAnsi="Montserrat" w:cs="Montserrat"/>
          <w:sz w:val="22"/>
          <w:szCs w:val="22"/>
        </w:rPr>
        <w:t>atunci când valoarea ajutoarelor este stabilită pe baza prețului sau a cantității de produse de acest tip achiziționate de la producători primari sau introduse pe piață de întreprinderile respective;</w:t>
      </w:r>
    </w:p>
    <w:p w14:paraId="0000003E" w14:textId="77777777" w:rsidR="00A552E2" w:rsidRDefault="001D1E2D">
      <w:pPr>
        <w:numPr>
          <w:ilvl w:val="0"/>
          <w:numId w:val="6"/>
        </w:numPr>
        <w:ind w:left="0" w:hanging="2"/>
        <w:jc w:val="both"/>
        <w:rPr>
          <w:rFonts w:ascii="Montserrat" w:eastAsia="Montserrat" w:hAnsi="Montserrat" w:cs="Montserrat"/>
          <w:sz w:val="22"/>
          <w:szCs w:val="22"/>
        </w:rPr>
      </w:pPr>
      <w:r>
        <w:rPr>
          <w:rFonts w:ascii="Montserrat" w:eastAsia="Montserrat" w:hAnsi="Montserrat" w:cs="Montserrat"/>
          <w:sz w:val="22"/>
          <w:szCs w:val="22"/>
        </w:rPr>
        <w:t>atunci când ajutoarele sunt condiționate de transferarea lor parțială sau integrală către producătorii primari;</w:t>
      </w:r>
    </w:p>
    <w:p w14:paraId="0000003F" w14:textId="77777777" w:rsidR="00A552E2" w:rsidRDefault="001D1E2D">
      <w:pPr>
        <w:numPr>
          <w:ilvl w:val="0"/>
          <w:numId w:val="5"/>
        </w:numPr>
        <w:ind w:left="0" w:hanging="2"/>
        <w:rPr>
          <w:rFonts w:ascii="Montserrat" w:eastAsia="Montserrat" w:hAnsi="Montserrat" w:cs="Montserrat"/>
          <w:sz w:val="22"/>
          <w:szCs w:val="22"/>
        </w:rPr>
      </w:pPr>
      <w:r>
        <w:rPr>
          <w:rFonts w:ascii="Montserrat" w:eastAsia="Montserrat" w:hAnsi="Montserrat" w:cs="Montserrat"/>
          <w:sz w:val="22"/>
          <w:szCs w:val="22"/>
        </w:rPr>
        <w:t>ajutoarelor destinate activităților legate de export către țări terțe sau către alte state  membre, respectiv ajutoarelor direct legate de cantitățile exportate, ajutoarelor  destinate înființării și funcționării unei rețele de distribuție sau destinate altor cheltuieli curente legate de activitatea de export;</w:t>
      </w:r>
    </w:p>
    <w:p w14:paraId="00000040" w14:textId="77777777" w:rsidR="00A552E2" w:rsidRDefault="001D1E2D">
      <w:pPr>
        <w:numPr>
          <w:ilvl w:val="0"/>
          <w:numId w:val="5"/>
        </w:numPr>
        <w:ind w:left="0" w:hanging="2"/>
        <w:rPr>
          <w:rFonts w:ascii="Montserrat" w:eastAsia="Montserrat" w:hAnsi="Montserrat" w:cs="Montserrat"/>
          <w:sz w:val="22"/>
          <w:szCs w:val="22"/>
        </w:rPr>
      </w:pPr>
      <w:r>
        <w:rPr>
          <w:rFonts w:ascii="Montserrat" w:eastAsia="Montserrat" w:hAnsi="Montserrat" w:cs="Montserrat"/>
          <w:sz w:val="22"/>
          <w:szCs w:val="22"/>
        </w:rPr>
        <w:lastRenderedPageBreak/>
        <w:t>ajutoarelor condiționate de utilizarea preferențială a bunurilor și serviciilor naționale față de bunurile și serviciile importate.</w:t>
      </w:r>
    </w:p>
    <w:p w14:paraId="00000041" w14:textId="77777777" w:rsidR="00A552E2" w:rsidRDefault="00A552E2">
      <w:pPr>
        <w:ind w:left="0" w:hanging="2"/>
        <w:jc w:val="both"/>
        <w:rPr>
          <w:rFonts w:ascii="Montserrat" w:eastAsia="Montserrat" w:hAnsi="Montserrat" w:cs="Montserrat"/>
          <w:sz w:val="22"/>
          <w:szCs w:val="22"/>
        </w:rPr>
      </w:pPr>
    </w:p>
    <w:p w14:paraId="00000042"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b/>
          <w:sz w:val="22"/>
          <w:szCs w:val="22"/>
        </w:rPr>
        <w:t>Regulamentul UE nr. 1058/2021, respectiv:</w:t>
      </w:r>
    </w:p>
    <w:p w14:paraId="00000043"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dezafectarea sau construirea de centrale nucleare;</w:t>
      </w:r>
    </w:p>
    <w:p w14:paraId="00000044"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investițiile destinate reducerii emisiilor de gaze cu efect de seră generate de activitățile enumerate în anexa I la Directiva 2003/87/CE;</w:t>
      </w:r>
    </w:p>
    <w:p w14:paraId="00000045"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fabricarea, prelucrarea și comercializarea tutunului și a produselor din tutun;</w:t>
      </w:r>
    </w:p>
    <w:p w14:paraId="00000046"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 xml:space="preserve">investițiile în infrastructura aeroportuară, cu excepția cu excepția celor legate de măsuri de atenuare a impactului asupra mediului, sau în cadrul sistemelor de securitate, de siguranță și de management al traficului aerian care rezultă din cercetarea MTA „Cerul unic european” (Single European </w:t>
      </w:r>
      <w:proofErr w:type="spellStart"/>
      <w:r>
        <w:rPr>
          <w:rFonts w:ascii="Montserrat" w:eastAsia="Montserrat" w:hAnsi="Montserrat" w:cs="Montserrat"/>
          <w:sz w:val="22"/>
          <w:szCs w:val="22"/>
        </w:rPr>
        <w:t>Sky</w:t>
      </w:r>
      <w:proofErr w:type="spellEnd"/>
      <w:r>
        <w:rPr>
          <w:rFonts w:ascii="Montserrat" w:eastAsia="Montserrat" w:hAnsi="Montserrat" w:cs="Montserrat"/>
          <w:sz w:val="22"/>
          <w:szCs w:val="22"/>
        </w:rPr>
        <w:t xml:space="preserve"> ATM </w:t>
      </w:r>
      <w:proofErr w:type="spellStart"/>
      <w:r>
        <w:rPr>
          <w:rFonts w:ascii="Montserrat" w:eastAsia="Montserrat" w:hAnsi="Montserrat" w:cs="Montserrat"/>
          <w:sz w:val="22"/>
          <w:szCs w:val="22"/>
        </w:rPr>
        <w:t>Research</w:t>
      </w:r>
      <w:proofErr w:type="spellEnd"/>
      <w:r>
        <w:rPr>
          <w:rFonts w:ascii="Montserrat" w:eastAsia="Montserrat" w:hAnsi="Montserrat" w:cs="Montserrat"/>
          <w:sz w:val="22"/>
          <w:szCs w:val="22"/>
        </w:rPr>
        <w:t>);</w:t>
      </w:r>
    </w:p>
    <w:p w14:paraId="00000047"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investițiile în eliminarea deșeurilor în depozite de deșeuri, exceptând investițiile pentru dezafectarea, reconversia sau securizarea depozitelor de deșeuri existente, cu condiția ca investițiile respective să nu le sporească capacitatea;</w:t>
      </w:r>
    </w:p>
    <w:p w14:paraId="00000048"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 xml:space="preserve">investițiile care sporesc capacitatea instalațiilor de tratare a deșeurilor reziduale, exceptând investițiile în tehnologii de recuperare a materialelor din deșeurile reziduale în scopul economiei circulare; </w:t>
      </w:r>
    </w:p>
    <w:p w14:paraId="00000049" w14:textId="77777777" w:rsidR="00A552E2" w:rsidRDefault="001D1E2D">
      <w:pPr>
        <w:numPr>
          <w:ilvl w:val="0"/>
          <w:numId w:val="7"/>
        </w:numPr>
        <w:ind w:left="0" w:hanging="2"/>
        <w:rPr>
          <w:rFonts w:ascii="Montserrat" w:eastAsia="Montserrat" w:hAnsi="Montserrat" w:cs="Montserrat"/>
          <w:sz w:val="22"/>
          <w:szCs w:val="22"/>
        </w:rPr>
      </w:pPr>
      <w:r>
        <w:rPr>
          <w:rFonts w:ascii="Montserrat" w:eastAsia="Montserrat" w:hAnsi="Montserrat" w:cs="Montserrat"/>
          <w:sz w:val="22"/>
          <w:szCs w:val="22"/>
        </w:rPr>
        <w:t>investițiile legate de producția, prelucrarea, transportul, distribuția, stocarea sau arderea combustibililor fosili, exceptând:</w:t>
      </w:r>
    </w:p>
    <w:p w14:paraId="0000004A" w14:textId="0EC45FC3" w:rsidR="00A552E2" w:rsidRDefault="001D1E2D" w:rsidP="001D1E2D">
      <w:pPr>
        <w:numPr>
          <w:ilvl w:val="0"/>
          <w:numId w:val="8"/>
        </w:num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xml:space="preserve"> investițiile în înlocuirea sistemelor de încălzire cu ardere pe bază de combustibili fosili solizi, și anume cărbune, turbă, lignit, șisturi bituminoase, cu sisteme de încălzire cu ardere pe bază de gaz, în scopul:</w:t>
      </w:r>
    </w:p>
    <w:p w14:paraId="0000004B" w14:textId="77777777" w:rsidR="00A552E2" w:rsidRDefault="001D1E2D" w:rsidP="001D1E2D">
      <w:p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de a optimiza sistemele de încălzire și răcire centralizată pentru a le aduce la stadiul de „sisteme eficiente de termoficare și răcire centralizată”, astfel cum sunt definite la articolul 2 punctul 41 din Directiva 2012/27/UE;</w:t>
      </w:r>
    </w:p>
    <w:p w14:paraId="0000004C" w14:textId="77777777" w:rsidR="00A552E2" w:rsidRDefault="001D1E2D" w:rsidP="001D1E2D">
      <w:p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de a optimiza centralele de producere combinată a energiei electrice și a energiei termice pentru a le aduce la stadiul de „cogenerare de înaltă eficiență”, astfel cum este definită la articolul 2 punctul 34 din Directiva 2012/27/UE;</w:t>
      </w:r>
    </w:p>
    <w:p w14:paraId="0000004D" w14:textId="77777777" w:rsidR="00A552E2" w:rsidRDefault="001D1E2D" w:rsidP="001D1E2D">
      <w:p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de a investi în cazane și sisteme de încălzire cu ardere pe bază de gaze naturale pentru locuințe și clădiri, care înlocuiesc instalațiile pe bază de cărbune, turbă, lignit sau șisturi bituminoase.</w:t>
      </w:r>
    </w:p>
    <w:p w14:paraId="0000004E" w14:textId="7D80EF33" w:rsidR="00A552E2" w:rsidRDefault="001D1E2D" w:rsidP="001D1E2D">
      <w:pPr>
        <w:numPr>
          <w:ilvl w:val="0"/>
          <w:numId w:val="8"/>
        </w:num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xml:space="preserve"> investițiile în extinderea și schimbarea destinației, conversia sau modernizarea rețelelor de transport și distribuție a gazelor, cu condiția ca aceste investiții să pregătească rețelele pentru adăugarea în sistem a gazelor din surse regenerabile și a gazelor cu emisii reduse de carbon, cum ar fi hidrogenul, biometanul și gazul de sinteză, și să permită înlocuirea instalațiilor de combustibili fosili solizi;</w:t>
      </w:r>
    </w:p>
    <w:p w14:paraId="0000004F" w14:textId="510F41AE" w:rsidR="00A552E2" w:rsidRDefault="001D1E2D" w:rsidP="001D1E2D">
      <w:pPr>
        <w:numPr>
          <w:ilvl w:val="0"/>
          <w:numId w:val="8"/>
        </w:num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xml:space="preserve"> investițiile în:</w:t>
      </w:r>
    </w:p>
    <w:p w14:paraId="00000050" w14:textId="77777777" w:rsidR="00A552E2" w:rsidRDefault="001D1E2D" w:rsidP="001D1E2D">
      <w:p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vehiculele nepoluante, astfel cum sunt definite în Directiva 2009/33/CE a Parlamentului European și a Consiliului(22), de interes public; și</w:t>
      </w:r>
    </w:p>
    <w:p w14:paraId="00000051" w14:textId="77777777" w:rsidR="00A552E2" w:rsidRDefault="001D1E2D" w:rsidP="001D1E2D">
      <w:pPr>
        <w:ind w:leftChars="0" w:left="567" w:firstLineChars="0" w:hanging="2"/>
        <w:jc w:val="both"/>
        <w:rPr>
          <w:rFonts w:ascii="Montserrat" w:eastAsia="Montserrat" w:hAnsi="Montserrat" w:cs="Montserrat"/>
          <w:sz w:val="22"/>
          <w:szCs w:val="22"/>
        </w:rPr>
      </w:pPr>
      <w:r>
        <w:rPr>
          <w:rFonts w:ascii="Montserrat" w:eastAsia="Montserrat" w:hAnsi="Montserrat" w:cs="Montserrat"/>
          <w:sz w:val="22"/>
          <w:szCs w:val="22"/>
        </w:rPr>
        <w:t>- vehicule, aeronave și nave proiectate și construite sau adaptate pentru a fi utilizate de serviciile de protecție civilă și de pompieri.</w:t>
      </w:r>
    </w:p>
    <w:p w14:paraId="00000052" w14:textId="77777777" w:rsidR="00A552E2" w:rsidRDefault="001D1E2D">
      <w:pPr>
        <w:ind w:left="0" w:hanging="2"/>
        <w:jc w:val="both"/>
        <w:rPr>
          <w:rFonts w:ascii="Montserrat" w:eastAsia="Montserrat" w:hAnsi="Montserrat" w:cs="Montserrat"/>
          <w:sz w:val="22"/>
          <w:szCs w:val="22"/>
        </w:rPr>
      </w:pPr>
      <w:r>
        <w:rPr>
          <w:rFonts w:ascii="Montserrat" w:eastAsia="Montserrat" w:hAnsi="Montserrat" w:cs="Montserrat"/>
          <w:sz w:val="22"/>
          <w:szCs w:val="22"/>
        </w:rPr>
        <w:lastRenderedPageBreak/>
        <w:t xml:space="preserve">Dacă solicitantul desfășoară activitatea atât în domenii de activitate eligibile conform Ghidului, cât şi în domenii de activitate neeligibile sau în </w:t>
      </w:r>
      <w:r>
        <w:rPr>
          <w:rFonts w:ascii="Montserrat" w:eastAsia="Montserrat" w:hAnsi="Montserrat" w:cs="Montserrat"/>
          <w:sz w:val="22"/>
          <w:szCs w:val="22"/>
          <w:highlight w:val="white"/>
        </w:rPr>
        <w:t xml:space="preserve">sectoarele </w:t>
      </w:r>
      <w:r>
        <w:rPr>
          <w:rFonts w:ascii="Montserrat" w:eastAsia="Montserrat" w:hAnsi="Montserrat" w:cs="Montserrat"/>
          <w:sz w:val="22"/>
          <w:szCs w:val="22"/>
        </w:rPr>
        <w:t xml:space="preserve">exceptate de la finanțare în condițiile Regulamentului UE nr. 2831/2023 al Comisiei privind aplicarea articolelor 107 și 108 din Tratatul privind funcționarea Uniunii Europene ajutoarelor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poate beneficia de finanţare doar pentru domeniile de activitate eligibile, cu condiția prezentării documentelor contabile care atestă separarea evidenței acestor activități sau o distincție între costuri, astfel ca activitățile desfășurate în domeniile excluse din domeniul de aplicare să nu beneficieze de ajutoare de </w:t>
      </w:r>
      <w:proofErr w:type="spellStart"/>
      <w:r>
        <w:rPr>
          <w:rFonts w:ascii="Montserrat" w:eastAsia="Montserrat" w:hAnsi="Montserrat" w:cs="Montserrat"/>
          <w:sz w:val="22"/>
          <w:szCs w:val="22"/>
        </w:rPr>
        <w:t>minimis</w:t>
      </w:r>
      <w:proofErr w:type="spellEnd"/>
      <w:r>
        <w:rPr>
          <w:rFonts w:ascii="Montserrat" w:eastAsia="Montserrat" w:hAnsi="Montserrat" w:cs="Montserrat"/>
          <w:sz w:val="22"/>
          <w:szCs w:val="22"/>
        </w:rPr>
        <w:t xml:space="preserve">. </w:t>
      </w:r>
    </w:p>
    <w:p w14:paraId="00000053" w14:textId="77777777" w:rsidR="00A552E2" w:rsidRDefault="00A552E2">
      <w:pPr>
        <w:ind w:left="0" w:hanging="2"/>
        <w:jc w:val="both"/>
        <w:rPr>
          <w:rFonts w:ascii="Montserrat" w:eastAsia="Montserrat" w:hAnsi="Montserrat" w:cs="Montserrat"/>
          <w:color w:val="0070C0"/>
          <w:sz w:val="22"/>
          <w:szCs w:val="22"/>
        </w:rPr>
      </w:pPr>
    </w:p>
    <w:sectPr w:rsidR="00A552E2">
      <w:footerReference w:type="default" r:id="rId8"/>
      <w:headerReference w:type="first" r:id="rId9"/>
      <w:footerReference w:type="first" r:id="rId10"/>
      <w:pgSz w:w="11906" w:h="16838"/>
      <w:pgMar w:top="1134" w:right="1134" w:bottom="1134" w:left="1134" w:header="709" w:footer="397"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DBA447" w14:textId="77777777" w:rsidR="001D1E2D" w:rsidRDefault="001D1E2D">
      <w:pPr>
        <w:spacing w:before="0" w:after="0" w:line="240" w:lineRule="auto"/>
        <w:ind w:left="0" w:hanging="2"/>
      </w:pPr>
      <w:r>
        <w:separator/>
      </w:r>
    </w:p>
  </w:endnote>
  <w:endnote w:type="continuationSeparator" w:id="0">
    <w:p w14:paraId="1C902660" w14:textId="77777777" w:rsidR="001D1E2D" w:rsidRDefault="001D1E2D">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2AE58F35-668B-4B62-A242-7BDFF08B5A8D}"/>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80667CAC-5A94-47E4-8AF4-0A28979A4030}"/>
    <w:embedBold r:id="rId3" w:fontKey="{48120D21-253B-4A60-99F4-385EBB499890}"/>
  </w:font>
  <w:font w:name="Calibri Light">
    <w:panose1 w:val="020F0302020204030204"/>
    <w:charset w:val="00"/>
    <w:family w:val="swiss"/>
    <w:pitch w:val="variable"/>
    <w:sig w:usb0="E4002EFF" w:usb1="C000247B" w:usb2="00000009" w:usb3="00000000" w:csb0="000001FF" w:csb1="00000000"/>
    <w:embedRegular r:id="rId4" w:fontKey="{4BF1738B-AA3D-4941-84F3-6B08FB4993BC}"/>
    <w:embedBoldItalic r:id="rId5" w:fontKey="{8641FBBA-0005-4204-81C7-F08B3CEA3C21}"/>
  </w:font>
  <w:font w:name="Calibri">
    <w:panose1 w:val="020F0502020204030204"/>
    <w:charset w:val="00"/>
    <w:family w:val="swiss"/>
    <w:pitch w:val="variable"/>
    <w:sig w:usb0="E4002EFF" w:usb1="C000247B" w:usb2="00000009" w:usb3="00000000" w:csb0="000001FF" w:csb1="00000000"/>
    <w:embedRegular r:id="rId6" w:fontKey="{540E4970-6363-4334-BBDA-8FFD16806307}"/>
  </w:font>
  <w:font w:name="Georgia">
    <w:panose1 w:val="02040502050405020303"/>
    <w:charset w:val="00"/>
    <w:family w:val="roman"/>
    <w:pitch w:val="variable"/>
    <w:sig w:usb0="00000287" w:usb1="00000000" w:usb2="00000000" w:usb3="00000000" w:csb0="0000009F" w:csb1="00000000"/>
    <w:embedRegular r:id="rId7" w:fontKey="{21E97FF0-601F-44AB-91C9-3829561D3EA8}"/>
    <w:embedItalic r:id="rId8" w:fontKey="{54FC754D-CD81-47AC-8CAD-0EEBB321ADD8}"/>
  </w:font>
  <w:font w:name="Montserrat">
    <w:charset w:val="00"/>
    <w:family w:val="auto"/>
    <w:pitch w:val="variable"/>
    <w:sig w:usb0="2000020F" w:usb1="00000003" w:usb2="00000000" w:usb3="00000000" w:csb0="00000197" w:csb1="00000000"/>
    <w:embedRegular r:id="rId9" w:fontKey="{0557126C-C061-4670-924F-27864ED17C9F}"/>
    <w:embedBold r:id="rId10" w:fontKey="{9FD2D4A7-18BF-47CB-A891-414FDD2C1916}"/>
    <w:embedItalic r:id="rId11" w:fontKey="{542E10C8-95BD-4794-90BD-C020D6554A47}"/>
  </w:font>
  <w:font w:name="Cambria">
    <w:panose1 w:val="02040503050406030204"/>
    <w:charset w:val="00"/>
    <w:family w:val="roman"/>
    <w:pitch w:val="variable"/>
    <w:sig w:usb0="E00006FF" w:usb1="420024FF" w:usb2="02000000" w:usb3="00000000" w:csb0="0000019F" w:csb1="00000000"/>
    <w:embedRegular r:id="rId12" w:fontKey="{DCD2AC4A-AEA9-41AA-9774-77A6ABE2048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A" w14:textId="60253637" w:rsidR="00A552E2" w:rsidRDefault="001D1E2D">
    <w:pPr>
      <w:pBdr>
        <w:top w:val="nil"/>
        <w:left w:val="nil"/>
        <w:bottom w:val="nil"/>
        <w:right w:val="nil"/>
        <w:between w:val="nil"/>
      </w:pBdr>
      <w:tabs>
        <w:tab w:val="center" w:pos="4513"/>
        <w:tab w:val="right" w:pos="9026"/>
      </w:tabs>
      <w:spacing w:line="240" w:lineRule="auto"/>
      <w:ind w:left="0" w:hanging="2"/>
      <w:jc w:val="center"/>
      <w:rPr>
        <w:rFonts w:eastAsia="Trebuchet MS"/>
        <w:color w:val="000000"/>
        <w:szCs w:val="20"/>
      </w:rPr>
    </w:pPr>
    <w:r>
      <w:rPr>
        <w:rFonts w:ascii="Montserrat" w:eastAsia="Montserrat" w:hAnsi="Montserrat" w:cs="Montserrat"/>
        <w:color w:val="000000"/>
        <w:szCs w:val="20"/>
      </w:rPr>
      <w:fldChar w:fldCharType="begin"/>
    </w:r>
    <w:r>
      <w:rPr>
        <w:rFonts w:ascii="Montserrat" w:eastAsia="Montserrat" w:hAnsi="Montserrat" w:cs="Montserrat"/>
        <w:color w:val="000000"/>
        <w:szCs w:val="20"/>
      </w:rPr>
      <w:instrText>PAGE</w:instrText>
    </w:r>
    <w:r>
      <w:rPr>
        <w:rFonts w:ascii="Montserrat" w:eastAsia="Montserrat" w:hAnsi="Montserrat" w:cs="Montserrat"/>
        <w:color w:val="000000"/>
        <w:szCs w:val="20"/>
      </w:rPr>
      <w:fldChar w:fldCharType="separate"/>
    </w:r>
    <w:r>
      <w:rPr>
        <w:rFonts w:ascii="Montserrat" w:eastAsia="Montserrat" w:hAnsi="Montserrat" w:cs="Montserrat"/>
        <w:noProof/>
        <w:color w:val="000000"/>
        <w:szCs w:val="20"/>
      </w:rPr>
      <w:t>2</w:t>
    </w:r>
    <w:r>
      <w:rPr>
        <w:rFonts w:ascii="Montserrat" w:eastAsia="Montserrat" w:hAnsi="Montserrat" w:cs="Montserrat"/>
        <w:color w:val="000000"/>
        <w:szCs w:val="20"/>
      </w:rPr>
      <w:fldChar w:fldCharType="end"/>
    </w:r>
    <w:r>
      <w:rPr>
        <w:rFonts w:eastAsia="Trebuchet MS"/>
        <w:noProof/>
        <w:color w:val="000000"/>
        <w:szCs w:val="20"/>
      </w:rPr>
      <w:drawing>
        <wp:inline distT="0" distB="0" distL="114300" distR="114300" wp14:anchorId="27170FDC" wp14:editId="3AC84151">
          <wp:extent cx="6343650" cy="288925"/>
          <wp:effectExtent l="0" t="0" r="0" b="0"/>
          <wp:docPr id="102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6343650" cy="288925"/>
                  </a:xfrm>
                  <a:prstGeom prst="rect">
                    <a:avLst/>
                  </a:prstGeom>
                  <a:ln/>
                </pic:spPr>
              </pic:pic>
            </a:graphicData>
          </a:graphic>
        </wp:inline>
      </w:drawing>
    </w:r>
  </w:p>
  <w:p w14:paraId="0000005B"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8" w14:textId="648BBED7" w:rsidR="00A552E2" w:rsidRDefault="001D1E2D">
    <w:pPr>
      <w:pBdr>
        <w:top w:val="nil"/>
        <w:left w:val="nil"/>
        <w:bottom w:val="nil"/>
        <w:right w:val="nil"/>
        <w:between w:val="nil"/>
      </w:pBdr>
      <w:tabs>
        <w:tab w:val="center" w:pos="4513"/>
        <w:tab w:val="right" w:pos="9026"/>
      </w:tabs>
      <w:spacing w:line="240" w:lineRule="auto"/>
      <w:ind w:left="0" w:hanging="2"/>
      <w:jc w:val="right"/>
      <w:rPr>
        <w:rFonts w:eastAsia="Trebuchet MS"/>
        <w:color w:val="000000"/>
        <w:szCs w:val="20"/>
      </w:rPr>
    </w:pPr>
    <w:r>
      <w:rPr>
        <w:rFonts w:eastAsia="Trebuchet MS"/>
        <w:color w:val="000000"/>
        <w:szCs w:val="20"/>
      </w:rPr>
      <w:fldChar w:fldCharType="begin"/>
    </w:r>
    <w:r>
      <w:rPr>
        <w:rFonts w:eastAsia="Trebuchet MS"/>
        <w:color w:val="000000"/>
        <w:szCs w:val="20"/>
      </w:rPr>
      <w:instrText>PAGE</w:instrText>
    </w:r>
    <w:r>
      <w:rPr>
        <w:rFonts w:eastAsia="Trebuchet MS"/>
        <w:color w:val="000000"/>
        <w:szCs w:val="20"/>
      </w:rPr>
      <w:fldChar w:fldCharType="separate"/>
    </w:r>
    <w:r>
      <w:rPr>
        <w:rFonts w:eastAsia="Trebuchet MS"/>
        <w:noProof/>
        <w:color w:val="000000"/>
        <w:szCs w:val="20"/>
      </w:rPr>
      <w:t>1</w:t>
    </w:r>
    <w:r>
      <w:rPr>
        <w:rFonts w:eastAsia="Trebuchet MS"/>
        <w:color w:val="000000"/>
        <w:szCs w:val="20"/>
      </w:rPr>
      <w:fldChar w:fldCharType="end"/>
    </w:r>
  </w:p>
  <w:p w14:paraId="00000059"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4C7C39" w14:textId="77777777" w:rsidR="001D1E2D" w:rsidRDefault="001D1E2D">
      <w:pPr>
        <w:spacing w:before="0" w:after="0" w:line="240" w:lineRule="auto"/>
        <w:ind w:left="0" w:hanging="2"/>
      </w:pPr>
      <w:r>
        <w:separator/>
      </w:r>
    </w:p>
  </w:footnote>
  <w:footnote w:type="continuationSeparator" w:id="0">
    <w:p w14:paraId="36C2C4AD" w14:textId="77777777" w:rsidR="001D1E2D" w:rsidRDefault="001D1E2D">
      <w:pPr>
        <w:spacing w:before="0"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4" w14:textId="77777777" w:rsidR="00A552E2" w:rsidRDefault="001D1E2D">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r>
      <w:rPr>
        <w:noProof/>
      </w:rPr>
      <w:drawing>
        <wp:anchor distT="0" distB="0" distL="114300" distR="114300" simplePos="0" relativeHeight="251658240" behindDoc="0" locked="0" layoutInCell="1" hidden="0" allowOverlap="1" wp14:anchorId="2F7E8476" wp14:editId="23AC7A03">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102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2AD18215" wp14:editId="427833EC">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103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186CCBD7" wp14:editId="20D4A830">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102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
                  <a:srcRect/>
                  <a:stretch>
                    <a:fillRect/>
                  </a:stretch>
                </pic:blipFill>
                <pic:spPr>
                  <a:xfrm>
                    <a:off x="0" y="0"/>
                    <a:ext cx="1092200" cy="466725"/>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1944EBF1" wp14:editId="041C405D">
          <wp:simplePos x="0" y="0"/>
          <wp:positionH relativeFrom="column">
            <wp:posOffset>2844800</wp:posOffset>
          </wp:positionH>
          <wp:positionV relativeFrom="paragraph">
            <wp:posOffset>-12699</wp:posOffset>
          </wp:positionV>
          <wp:extent cx="1535430" cy="713740"/>
          <wp:effectExtent l="0" t="0" r="0" b="0"/>
          <wp:wrapSquare wrapText="bothSides" distT="0" distB="0" distL="114300" distR="114300"/>
          <wp:docPr id="102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
                  <a:srcRect/>
                  <a:stretch>
                    <a:fillRect/>
                  </a:stretch>
                </pic:blipFill>
                <pic:spPr>
                  <a:xfrm>
                    <a:off x="0" y="0"/>
                    <a:ext cx="1535430" cy="713740"/>
                  </a:xfrm>
                  <a:prstGeom prst="rect">
                    <a:avLst/>
                  </a:prstGeom>
                  <a:ln/>
                </pic:spPr>
              </pic:pic>
            </a:graphicData>
          </a:graphic>
        </wp:anchor>
      </w:drawing>
    </w:r>
  </w:p>
  <w:p w14:paraId="00000055"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p w14:paraId="00000056"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p w14:paraId="00000057"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4B68DB"/>
    <w:multiLevelType w:val="multilevel"/>
    <w:tmpl w:val="BB6A7FD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152D0596"/>
    <w:multiLevelType w:val="multilevel"/>
    <w:tmpl w:val="0C0EEA2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30FC726E"/>
    <w:multiLevelType w:val="multilevel"/>
    <w:tmpl w:val="90D6D8AC"/>
    <w:lvl w:ilvl="0">
      <w:start w:val="1"/>
      <w:numFmt w:val="lowerRoman"/>
      <w:lvlText w:val="%1."/>
      <w:lvlJc w:val="right"/>
      <w:pPr>
        <w:ind w:left="720" w:hanging="360"/>
      </w:pPr>
      <w:rPr>
        <w:b/>
        <w:sz w:val="22"/>
        <w:szCs w:val="22"/>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4CD00E98"/>
    <w:multiLevelType w:val="multilevel"/>
    <w:tmpl w:val="27AC6BF6"/>
    <w:lvl w:ilvl="0">
      <w:start w:val="1"/>
      <w:numFmt w:val="lowerRoman"/>
      <w:lvlText w:val="%1."/>
      <w:lvlJc w:val="right"/>
      <w:pPr>
        <w:ind w:left="720" w:hanging="360"/>
      </w:pPr>
      <w:rPr>
        <w:b/>
        <w:sz w:val="22"/>
        <w:szCs w:val="22"/>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50FD4DAE"/>
    <w:multiLevelType w:val="multilevel"/>
    <w:tmpl w:val="BB8EDC8A"/>
    <w:lvl w:ilvl="0">
      <w:start w:val="1"/>
      <w:numFmt w:val="lowerLetter"/>
      <w:pStyle w:val="criterii"/>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 w15:restartNumberingAfterBreak="0">
    <w:nsid w:val="57B34943"/>
    <w:multiLevelType w:val="multilevel"/>
    <w:tmpl w:val="A72813DA"/>
    <w:lvl w:ilvl="0">
      <w:start w:val="1"/>
      <w:numFmt w:val="lowerLetter"/>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59525A75"/>
    <w:multiLevelType w:val="multilevel"/>
    <w:tmpl w:val="238E887E"/>
    <w:lvl w:ilvl="0">
      <w:start w:val="1"/>
      <w:numFmt w:val="lowerLetter"/>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15:restartNumberingAfterBreak="0">
    <w:nsid w:val="646B2468"/>
    <w:multiLevelType w:val="multilevel"/>
    <w:tmpl w:val="D44C149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76D21F50"/>
    <w:multiLevelType w:val="multilevel"/>
    <w:tmpl w:val="EEA2515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15:restartNumberingAfterBreak="0">
    <w:nsid w:val="7AAA2F94"/>
    <w:multiLevelType w:val="multilevel"/>
    <w:tmpl w:val="05C00962"/>
    <w:lvl w:ilvl="0">
      <w:start w:val="1"/>
      <w:numFmt w:val="decimal"/>
      <w:lvlText w:val=""/>
      <w:lvlJc w:val="left"/>
      <w:pPr>
        <w:ind w:left="432" w:hanging="432"/>
      </w:pPr>
      <w:rPr>
        <w:vertAlign w:val="baseline"/>
      </w:rPr>
    </w:lvl>
    <w:lvl w:ilvl="1">
      <w:start w:val="1"/>
      <w:numFmt w:val="decimal"/>
      <w:lvlText w:val=""/>
      <w:lvlJc w:val="left"/>
      <w:pPr>
        <w:ind w:left="576" w:hanging="576"/>
      </w:pPr>
      <w:rPr>
        <w:vertAlign w:val="baseline"/>
      </w:rPr>
    </w:lvl>
    <w:lvl w:ilvl="2">
      <w:start w:val="1"/>
      <w:numFmt w:val="decimal"/>
      <w:lvlText w:val=""/>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num w:numId="1" w16cid:durableId="1782534689">
    <w:abstractNumId w:val="4"/>
  </w:num>
  <w:num w:numId="2" w16cid:durableId="244992783">
    <w:abstractNumId w:val="0"/>
  </w:num>
  <w:num w:numId="3" w16cid:durableId="572199803">
    <w:abstractNumId w:val="7"/>
  </w:num>
  <w:num w:numId="4" w16cid:durableId="24448303">
    <w:abstractNumId w:val="9"/>
  </w:num>
  <w:num w:numId="5" w16cid:durableId="1389568075">
    <w:abstractNumId w:val="6"/>
  </w:num>
  <w:num w:numId="6" w16cid:durableId="1763913162">
    <w:abstractNumId w:val="3"/>
  </w:num>
  <w:num w:numId="7" w16cid:durableId="1603222171">
    <w:abstractNumId w:val="5"/>
  </w:num>
  <w:num w:numId="8" w16cid:durableId="622276411">
    <w:abstractNumId w:val="2"/>
  </w:num>
  <w:num w:numId="9" w16cid:durableId="1611088681">
    <w:abstractNumId w:val="8"/>
  </w:num>
  <w:num w:numId="10" w16cid:durableId="160734975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52E2"/>
    <w:rsid w:val="001D1E2D"/>
    <w:rsid w:val="004802F6"/>
    <w:rsid w:val="00666AD5"/>
    <w:rsid w:val="00A449B5"/>
    <w:rsid w:val="00A552E2"/>
    <w:rsid w:val="00B96CBC"/>
    <w:rsid w:val="00CF5F44"/>
    <w:rsid w:val="00DE7346"/>
    <w:rsid w:val="00E01DA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0FFD7C"/>
  <w15:docId w15:val="{1D136652-3C82-4045-B91F-58BFE0D6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lang w:val="ro-RO" w:eastAsia="ro-RO"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rFonts w:eastAsia="Times New Roman"/>
      <w:position w:val="-1"/>
      <w:szCs w:val="24"/>
      <w:lang w:eastAsia="en-US"/>
    </w:rPr>
  </w:style>
  <w:style w:type="paragraph" w:styleId="Titlu1">
    <w:name w:val="heading 1"/>
    <w:basedOn w:val="Normal"/>
    <w:next w:val="Normal"/>
    <w:uiPriority w:val="9"/>
    <w:qFormat/>
    <w:pPr>
      <w:keepNext/>
      <w:keepLines/>
      <w:spacing w:before="240" w:after="0"/>
    </w:pPr>
    <w:rPr>
      <w:rFonts w:ascii="Calibri Light" w:hAnsi="Calibri Light"/>
      <w:color w:val="2F5496"/>
      <w:sz w:val="32"/>
      <w:szCs w:val="32"/>
    </w:rPr>
  </w:style>
  <w:style w:type="paragraph" w:styleId="Titlu2">
    <w:name w:val="heading 2"/>
    <w:basedOn w:val="Normal"/>
    <w:next w:val="Normal"/>
    <w:uiPriority w:val="9"/>
    <w:semiHidden/>
    <w:unhideWhenUsed/>
    <w:qFormat/>
    <w:pPr>
      <w:keepNext/>
      <w:spacing w:before="240" w:after="60"/>
      <w:outlineLvl w:val="1"/>
    </w:pPr>
    <w:rPr>
      <w:rFonts w:ascii="Calibri Light" w:hAnsi="Calibri Light" w:cs="Times New Roman"/>
      <w:b/>
      <w:bCs/>
      <w:i/>
      <w:iCs/>
      <w:sz w:val="28"/>
      <w:szCs w:val="28"/>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rPr>
  </w:style>
  <w:style w:type="paragraph" w:styleId="Titlu5">
    <w:name w:val="heading 5"/>
    <w:basedOn w:val="Normal"/>
    <w:next w:val="Normal"/>
    <w:uiPriority w:val="9"/>
    <w:semiHidden/>
    <w:unhideWhenUsed/>
    <w:qFormat/>
    <w:pPr>
      <w:keepNext/>
      <w:keepLines/>
      <w:spacing w:before="220" w:after="40"/>
      <w:outlineLvl w:val="4"/>
    </w:pPr>
    <w:rPr>
      <w:b/>
      <w:sz w:val="22"/>
      <w:szCs w:val="22"/>
    </w:rPr>
  </w:style>
  <w:style w:type="paragraph" w:styleId="Titlu6">
    <w:name w:val="heading 6"/>
    <w:basedOn w:val="Normal"/>
    <w:next w:val="Normal"/>
    <w:uiPriority w:val="9"/>
    <w:semiHidden/>
    <w:unhideWhenUsed/>
    <w:qFormat/>
    <w:pPr>
      <w:keepNext/>
      <w:keepLines/>
      <w:spacing w:before="200" w:after="40"/>
      <w:outlineLvl w:val="5"/>
    </w:pPr>
    <w:rPr>
      <w:b/>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pPr>
    <w:rPr>
      <w:b/>
      <w:sz w:val="72"/>
      <w:szCs w:val="72"/>
    </w:rPr>
  </w:style>
  <w:style w:type="character" w:customStyle="1" w:styleId="Titlu1Caracter">
    <w:name w:val="Titlu 1 Caracter"/>
    <w:rPr>
      <w:rFonts w:ascii="Calibri Light" w:eastAsia="Times New Roman" w:hAnsi="Calibri Light" w:cs="Times New Roman"/>
      <w:color w:val="2F5496"/>
      <w:w w:val="100"/>
      <w:position w:val="-1"/>
      <w:sz w:val="32"/>
      <w:szCs w:val="32"/>
      <w:effect w:val="none"/>
      <w:vertAlign w:val="baseline"/>
      <w:cs w:val="0"/>
      <w:em w:val="none"/>
      <w:lang w:val="ro-RO"/>
    </w:rPr>
  </w:style>
  <w:style w:type="character" w:styleId="Referincomentariu">
    <w:name w:val="annotation reference"/>
    <w:rPr>
      <w:w w:val="100"/>
      <w:position w:val="-1"/>
      <w:sz w:val="16"/>
      <w:szCs w:val="16"/>
      <w:effect w:val="none"/>
      <w:vertAlign w:val="baseline"/>
      <w:cs w:val="0"/>
      <w:em w:val="none"/>
    </w:rPr>
  </w:style>
  <w:style w:type="paragraph" w:styleId="Textcomentariu">
    <w:name w:val="annotation text"/>
    <w:basedOn w:val="Normal"/>
    <w:rPr>
      <w:szCs w:val="20"/>
    </w:rPr>
  </w:style>
  <w:style w:type="character" w:customStyle="1" w:styleId="TextcomentariuCaracter">
    <w:name w:val="Text comentariu Caracter"/>
    <w:rPr>
      <w:rFonts w:ascii="Trebuchet MS" w:eastAsia="Times New Roman" w:hAnsi="Trebuchet MS" w:cs="Times New Roman"/>
      <w:w w:val="100"/>
      <w:position w:val="-1"/>
      <w:sz w:val="20"/>
      <w:szCs w:val="20"/>
      <w:effect w:val="none"/>
      <w:vertAlign w:val="baseline"/>
      <w:cs w:val="0"/>
      <w:em w:val="none"/>
      <w:lang w:val="ro-RO"/>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Times New Roman" w:hAnsi="Times New Roman"/>
      <w:color w:val="000000"/>
      <w:position w:val="-1"/>
      <w:sz w:val="24"/>
      <w:szCs w:val="24"/>
      <w:lang w:val="en-GB" w:eastAsia="en-US"/>
    </w:rPr>
  </w:style>
  <w:style w:type="paragraph" w:customStyle="1" w:styleId="ListparagrafNormalbullet2body2ListParagraph11ListParagraph111AntesdeenumeracinListcolorat-Accentuare11BulletCitationListListParagraphcompactParagraphedeliste2ReferencelistBulletlistNumberedListListParagraph1List">
    <w:name w:val="Listă paragraf;Normal bullet 2;body 2;List Paragraph11;List Paragraph111;Antes de enumeración;Listă colorată - Accentuare 11;Bullet;Citation List;List Paragraph compact;Paragraphe de liste 2;Reference list;Bullet list;Numbered List;List Paragraph1;List"/>
    <w:basedOn w:val="Normal"/>
    <w:pPr>
      <w:ind w:left="720"/>
    </w:pPr>
  </w:style>
  <w:style w:type="paragraph" w:styleId="Antet">
    <w:name w:val="header"/>
    <w:basedOn w:val="Normal"/>
    <w:qFormat/>
    <w:pPr>
      <w:tabs>
        <w:tab w:val="center" w:pos="4513"/>
        <w:tab w:val="right" w:pos="9026"/>
      </w:tabs>
    </w:pPr>
  </w:style>
  <w:style w:type="character" w:customStyle="1" w:styleId="AntetCaracter">
    <w:name w:val="Antet Caracter"/>
    <w:rPr>
      <w:rFonts w:ascii="Trebuchet MS" w:eastAsia="Times New Roman" w:hAnsi="Trebuchet MS"/>
      <w:w w:val="100"/>
      <w:position w:val="-1"/>
      <w:szCs w:val="24"/>
      <w:effect w:val="none"/>
      <w:vertAlign w:val="baseline"/>
      <w:cs w:val="0"/>
      <w:em w:val="none"/>
      <w:lang w:val="ro-RO" w:eastAsia="en-US"/>
    </w:rPr>
  </w:style>
  <w:style w:type="paragraph" w:styleId="Subsol">
    <w:name w:val="footer"/>
    <w:basedOn w:val="Normal"/>
    <w:qFormat/>
    <w:pPr>
      <w:tabs>
        <w:tab w:val="center" w:pos="4513"/>
        <w:tab w:val="right" w:pos="9026"/>
      </w:tabs>
    </w:pPr>
  </w:style>
  <w:style w:type="character" w:customStyle="1" w:styleId="SubsolCaracter">
    <w:name w:val="Subsol Caracter"/>
    <w:rPr>
      <w:rFonts w:ascii="Trebuchet MS" w:eastAsia="Times New Roman" w:hAnsi="Trebuchet MS"/>
      <w:w w:val="100"/>
      <w:position w:val="-1"/>
      <w:szCs w:val="24"/>
      <w:effect w:val="none"/>
      <w:vertAlign w:val="baseline"/>
      <w:cs w:val="0"/>
      <w:em w:val="none"/>
      <w:lang w:val="ro-RO" w:eastAsia="en-US"/>
    </w:rPr>
  </w:style>
  <w:style w:type="character" w:customStyle="1" w:styleId="ListparagrafCaracterNormalbullet2Caracterbody2CaracterListParagraph11CaracterListParagraph111CaracterAntesdeenumeracinCaracterListcolorat-Accentuare11CaracterBulletCaracterCitationListCaracterReferencelistCaracter">
    <w:name w:val="Listă paragraf Caracter;Normal bullet 2 Caracter;body 2 Caracter;List Paragraph11 Caracter;List Paragraph111 Caracter;Antes de enumeración Caracter;Listă colorată - Accentuare 11 Caracter;Bullet Caracter;Citation List Caracter;Reference list Caracter"/>
    <w:rPr>
      <w:rFonts w:ascii="Trebuchet MS" w:eastAsia="Times New Roman" w:hAnsi="Trebuchet MS"/>
      <w:w w:val="100"/>
      <w:position w:val="-1"/>
      <w:szCs w:val="24"/>
      <w:effect w:val="none"/>
      <w:vertAlign w:val="baseline"/>
      <w:cs w:val="0"/>
      <w:em w:val="none"/>
      <w:lang w:val="ro-RO" w:eastAsia="en-US"/>
    </w:rPr>
  </w:style>
  <w:style w:type="paragraph" w:customStyle="1" w:styleId="TextnotdesubsolFootnoteTextCharCharFunotesinglespacefootnotetextFOOTNOTESfnPodrozdziaFootnotestile1Footnote1Footnote2Footnote3Footnote4Footnote5Footnote6Footnote7Footnote8Footnote9Footnote10Footnote11fnCharf">
    <w:name w:val="Text notă de subsol;Footnote Text Char Char;Fußnote;single space;footnote text;FOOTNOTES;fn;Podrozdział;Footnote;stile 1;Footnote1;Footnote2;Footnote3;Footnote4;Footnote5;Footnote6;Footnote7;Footnote8;Footnote9;Footnote10;Footnote11;fn Char;f"/>
    <w:basedOn w:val="Normal"/>
    <w:pPr>
      <w:spacing w:before="0" w:after="0"/>
    </w:pPr>
    <w:rPr>
      <w:sz w:val="16"/>
      <w:szCs w:val="20"/>
    </w:rPr>
  </w:style>
  <w:style w:type="character" w:customStyle="1" w:styleId="FootnoteTextChar">
    <w:name w:val="Footnote Text Char"/>
    <w:rPr>
      <w:rFonts w:ascii="Trebuchet MS" w:eastAsia="Times New Roman" w:hAnsi="Trebuchet MS"/>
      <w:w w:val="100"/>
      <w:position w:val="-1"/>
      <w:effect w:val="none"/>
      <w:vertAlign w:val="baseline"/>
      <w:cs w:val="0"/>
      <w:em w:val="none"/>
      <w:lang w:val="ro-RO" w:eastAsia="en-US"/>
    </w:rPr>
  </w:style>
  <w:style w:type="character" w:customStyle="1" w:styleId="ReferinnotdesubsolFootnotesymbolBVIfnr16PointSuperscript6PointftrefBVIfnrChar1CharCharFootnoteReferenceNumberCharCharCharTimes10PointCharCharCharExposant3PointCharCharCharFootnotesymbolChar1CharCharSUPERSo">
    <w:name w:val="Referință notă de subsol;Footnote symbol;BVI fnr;16 Point;Superscript 6 Point;ftref;BVI fnr Char1 Char Char;Footnote Reference Number Char Char Char;Times 10 Point Char Char Char;Exposant 3 Point Char Char Char;Footnote symbol Char1 Char Char;SUPERS;o"/>
    <w:rPr>
      <w:w w:val="100"/>
      <w:position w:val="-1"/>
      <w:effect w:val="none"/>
      <w:vertAlign w:val="superscript"/>
      <w:cs w:val="0"/>
      <w:em w:val="none"/>
    </w:rPr>
  </w:style>
  <w:style w:type="character" w:customStyle="1" w:styleId="TextnotdesubsolCaracterFootnoteTextCharCharCaracterFunoteCaractersinglespaceCaracterfootnotetextCaracterFOOTNOTESCaracterfnCaracterPodrozdziaCaracterFootnoteCaracterstile1CaracterFootnote1CaracterFootnote2Caracter">
    <w:name w:val="Text notă de subsol Caracter;Footnote Text Char Char Caracter;Fußnote Caracter;single space Caracter;footnote text Caracter;FOOTNOTES Caracter;fn Caracter;Podrozdział Caracter;Footnote Caracter;stile 1 Caracter;Footnote1 Caracter;Footnote2 Caracter"/>
    <w:rPr>
      <w:rFonts w:ascii="Trebuchet MS" w:eastAsia="Times New Roman" w:hAnsi="Trebuchet MS"/>
      <w:w w:val="100"/>
      <w:position w:val="-1"/>
      <w:sz w:val="16"/>
      <w:effect w:val="none"/>
      <w:vertAlign w:val="baseline"/>
      <w:cs w:val="0"/>
      <w:em w:val="none"/>
      <w:lang w:val="ro-RO" w:eastAsia="en-US"/>
    </w:rPr>
  </w:style>
  <w:style w:type="paragraph" w:customStyle="1" w:styleId="BVIfnrChar1CharFootnoteReferenceNumberCharCharTimes10PointCharCharExposant3PointCharCharFootnotesymbolChar1CharFootnotereferencenumberCharCharfr">
    <w:name w:val="BVI fnr Char1 Char;Footnote Reference Number Char Char;Times 10 Point Char Char;Exposant 3 Point Char Char;Footnote symbol Char1 Char;Footnote reference number Char Char;fr"/>
    <w:basedOn w:val="Normal"/>
    <w:next w:val="Normal"/>
    <w:pPr>
      <w:spacing w:before="0" w:after="160" w:line="240" w:lineRule="atLeast"/>
    </w:pPr>
    <w:rPr>
      <w:rFonts w:ascii="Calibri" w:eastAsia="Calibri" w:hAnsi="Calibri"/>
      <w:szCs w:val="20"/>
      <w:vertAlign w:val="superscript"/>
      <w:lang w:val="en-GB" w:eastAsia="en-GB"/>
    </w:rPr>
  </w:style>
  <w:style w:type="paragraph" w:customStyle="1" w:styleId="criterii">
    <w:name w:val="criterii"/>
    <w:basedOn w:val="Normal"/>
    <w:pPr>
      <w:numPr>
        <w:numId w:val="1"/>
      </w:numPr>
      <w:shd w:val="clear" w:color="auto" w:fill="E6E6E6"/>
      <w:spacing w:before="240"/>
      <w:ind w:left="-1" w:hanging="1"/>
      <w:jc w:val="both"/>
    </w:pPr>
    <w:rPr>
      <w:b/>
      <w:bCs/>
      <w:snapToGrid w:val="0"/>
    </w:rPr>
  </w:style>
  <w:style w:type="character" w:customStyle="1" w:styleId="Titlu2Caracter">
    <w:name w:val="Titlu 2 Caracter"/>
    <w:rPr>
      <w:rFonts w:ascii="Calibri Light" w:eastAsia="Times New Roman" w:hAnsi="Calibri Light" w:cs="Times New Roman"/>
      <w:b/>
      <w:bCs/>
      <w:i/>
      <w:iCs/>
      <w:w w:val="100"/>
      <w:position w:val="-1"/>
      <w:sz w:val="28"/>
      <w:szCs w:val="28"/>
      <w:effect w:val="none"/>
      <w:vertAlign w:val="baseline"/>
      <w:cs w:val="0"/>
      <w:em w:val="none"/>
      <w:lang w:val="ro-RO" w:eastAsia="en-US"/>
    </w:rPr>
  </w:style>
  <w:style w:type="character" w:styleId="Hyperlink">
    <w:name w:val="Hyperlink"/>
    <w:qFormat/>
    <w:rPr>
      <w:color w:val="0563C1"/>
      <w:w w:val="100"/>
      <w:position w:val="-1"/>
      <w:u w:val="single"/>
      <w:effect w:val="none"/>
      <w:vertAlign w:val="baseline"/>
      <w:cs w:val="0"/>
      <w:em w:val="none"/>
    </w:rPr>
  </w:style>
  <w:style w:type="paragraph" w:customStyle="1" w:styleId="CM1">
    <w:name w:val="CM1"/>
    <w:basedOn w:val="Default"/>
    <w:next w:val="Default"/>
    <w:rPr>
      <w:color w:val="auto"/>
      <w:lang w:eastAsia="en-GB"/>
    </w:rPr>
  </w:style>
  <w:style w:type="paragraph" w:customStyle="1" w:styleId="CM3">
    <w:name w:val="CM3"/>
    <w:basedOn w:val="Default"/>
    <w:next w:val="Default"/>
    <w:rPr>
      <w:color w:val="auto"/>
      <w:lang w:eastAsia="en-GB"/>
    </w:rPr>
  </w:style>
  <w:style w:type="paragraph" w:customStyle="1" w:styleId="CM4">
    <w:name w:val="CM4"/>
    <w:basedOn w:val="Default"/>
    <w:next w:val="Default"/>
    <w:rPr>
      <w:color w:val="auto"/>
      <w:lang w:eastAsia="en-GB"/>
    </w:rPr>
  </w:style>
  <w:style w:type="character" w:customStyle="1" w:styleId="tpt1">
    <w:name w:val="tpt1"/>
    <w:basedOn w:val="Fontdeparagrafimplicit"/>
    <w:rPr>
      <w:w w:val="100"/>
      <w:position w:val="-1"/>
      <w:effect w:val="none"/>
      <w:vertAlign w:val="baseline"/>
      <w:cs w:val="0"/>
      <w:em w:val="none"/>
    </w:rPr>
  </w:style>
  <w:style w:type="character" w:customStyle="1" w:styleId="tli1">
    <w:name w:val="tli1"/>
    <w:basedOn w:val="Fontdeparagrafimplicit"/>
    <w:rPr>
      <w:w w:val="100"/>
      <w:position w:val="-1"/>
      <w:effect w:val="none"/>
      <w:vertAlign w:val="baseline"/>
      <w:cs w:val="0"/>
      <w:em w:val="none"/>
    </w:rPr>
  </w:style>
  <w:style w:type="paragraph" w:styleId="Revizuire">
    <w:name w:val="Revision"/>
    <w:pPr>
      <w:suppressAutoHyphens/>
      <w:spacing w:line="1" w:lineRule="atLeast"/>
      <w:ind w:leftChars="-1" w:left="-1" w:hangingChars="1" w:hanging="1"/>
      <w:textDirection w:val="btLr"/>
      <w:textAlignment w:val="top"/>
      <w:outlineLvl w:val="0"/>
    </w:pPr>
    <w:rPr>
      <w:rFonts w:eastAsia="Times New Roman"/>
      <w:position w:val="-1"/>
      <w:szCs w:val="24"/>
      <w:lang w:eastAsia="en-US"/>
    </w:rPr>
  </w:style>
  <w:style w:type="paragraph" w:styleId="SubiectComentariu">
    <w:name w:val="annotation subject"/>
    <w:basedOn w:val="Textcomentariu"/>
    <w:next w:val="Textcomentariu"/>
    <w:qFormat/>
    <w:rPr>
      <w:b/>
      <w:bCs/>
    </w:rPr>
  </w:style>
  <w:style w:type="character" w:customStyle="1" w:styleId="SubiectComentariuCaracter">
    <w:name w:val="Subiect Comentariu Caracter"/>
    <w:rPr>
      <w:rFonts w:ascii="Trebuchet MS" w:eastAsia="Times New Roman" w:hAnsi="Trebuchet MS" w:cs="Times New Roman"/>
      <w:b/>
      <w:bCs/>
      <w:w w:val="100"/>
      <w:position w:val="-1"/>
      <w:sz w:val="20"/>
      <w:szCs w:val="20"/>
      <w:effect w:val="none"/>
      <w:vertAlign w:val="baseline"/>
      <w:cs w:val="0"/>
      <w:em w:val="none"/>
      <w:lang w:val="ro-RO"/>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RBhb4WBaR/xjup3E6YxUWAh3KA==">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2206</Words>
  <Characters>12795</Characters>
  <Application>Microsoft Office Word</Application>
  <DocSecurity>0</DocSecurity>
  <Lines>106</Lines>
  <Paragraphs>29</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14972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ADRNE Piatra-Neamt</dc:creator>
  <cp:lastModifiedBy>simona.popa</cp:lastModifiedBy>
  <cp:revision>4</cp:revision>
  <dcterms:created xsi:type="dcterms:W3CDTF">2024-07-18T07:33:00Z</dcterms:created>
  <dcterms:modified xsi:type="dcterms:W3CDTF">2024-07-19T06:58:00Z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a5624fefaf3d248a6cf06e471a19be9c360b1b51402306685159bb093129ceb4</vt:lpwstr>
  </property>
</Properties>
</file>